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AF8A1" w14:textId="5F729B19" w:rsidR="00683B89" w:rsidRDefault="00EE67E4" w:rsidP="00EE67E4">
      <w:pPr>
        <w:pStyle w:val="Title"/>
      </w:pPr>
      <w:bookmarkStart w:id="0" w:name="_Toc142718988"/>
      <w:r w:rsidRPr="00EE67E4">
        <w:t>Budget</w:t>
      </w:r>
      <w:r>
        <w:t xml:space="preserve"> 2025–26</w:t>
      </w:r>
    </w:p>
    <w:p w14:paraId="169DA289" w14:textId="2A9DA1C3" w:rsidR="00EE67E4" w:rsidRPr="00EE67E4" w:rsidRDefault="00EE67E4" w:rsidP="00915D9C">
      <w:pPr>
        <w:pStyle w:val="BodyText"/>
      </w:pPr>
      <w:r w:rsidRPr="00EE67E4">
        <w:t>This information is accurate as of 25 March 202</w:t>
      </w:r>
      <w:r w:rsidR="00B04DB0">
        <w:t>5</w:t>
      </w:r>
      <w:r w:rsidRPr="00EE67E4">
        <w:t>.</w:t>
      </w:r>
    </w:p>
    <w:p w14:paraId="53219863" w14:textId="5751576B" w:rsidR="00EE67E4" w:rsidRDefault="006439EA" w:rsidP="00EE67E4">
      <w:pPr>
        <w:pStyle w:val="Heading1"/>
      </w:pPr>
      <w:r w:rsidRPr="006439EA">
        <w:t>Pharmaceutical Benefits Scheme new and amended listings</w:t>
      </w:r>
    </w:p>
    <w:p w14:paraId="4AF8A03B" w14:textId="41756E3F" w:rsidR="006439EA" w:rsidRPr="006439EA" w:rsidRDefault="006439EA" w:rsidP="00915D9C">
      <w:pPr>
        <w:pStyle w:val="BodyText"/>
      </w:pPr>
      <w:r w:rsidRPr="006439EA">
        <w:rPr>
          <w:rStyle w:val="Style3"/>
          <w:rFonts w:asciiTheme="minorHAnsi" w:hAnsiTheme="minorHAnsi"/>
          <w:sz w:val="20"/>
          <w:szCs w:val="20"/>
        </w:rPr>
        <w:t>The Pharmaceutical Benefits Scheme (PBS) provides subsidised access to medicines to</w:t>
      </w:r>
      <w:r w:rsidRPr="006439EA">
        <w:t xml:space="preserve"> Australian residents and overseas visitors from countries under Reciprocal Health Care Agreements.</w:t>
      </w:r>
    </w:p>
    <w:p w14:paraId="3F27C283" w14:textId="77777777" w:rsidR="006439EA" w:rsidRPr="006439EA" w:rsidRDefault="006439EA" w:rsidP="00915D9C">
      <w:pPr>
        <w:pStyle w:val="BodyText"/>
      </w:pPr>
      <w:r w:rsidRPr="006439EA">
        <w:rPr>
          <w:rStyle w:val="Style3"/>
          <w:rFonts w:asciiTheme="minorHAnsi" w:hAnsiTheme="minorHAnsi"/>
          <w:sz w:val="20"/>
          <w:szCs w:val="20"/>
        </w:rPr>
        <w:t>This measure lists new medicines on the PBS and expands access to others. It will provide better treatment and improved health for Australians.</w:t>
      </w:r>
    </w:p>
    <w:p w14:paraId="735DF593" w14:textId="77777777" w:rsidR="006439EA" w:rsidRPr="00915D9C" w:rsidRDefault="006439EA" w:rsidP="002F0714">
      <w:pPr>
        <w:pStyle w:val="Heading2"/>
      </w:pPr>
      <w:r w:rsidRPr="00915D9C">
        <w:t>New and amended listings from 1 January 2025</w:t>
      </w:r>
    </w:p>
    <w:p w14:paraId="7703973A" w14:textId="6F4AF9E3" w:rsidR="006439EA" w:rsidRPr="006439EA" w:rsidRDefault="006141DC" w:rsidP="00915D9C">
      <w:pPr>
        <w:pStyle w:val="ListBullet"/>
      </w:pPr>
      <w:proofErr w:type="spellStart"/>
      <w:r>
        <w:t>T</w:t>
      </w:r>
      <w:r w:rsidR="006439EA" w:rsidRPr="006439EA">
        <w:t>alazoparib</w:t>
      </w:r>
      <w:proofErr w:type="spellEnd"/>
      <w:r w:rsidR="006439EA" w:rsidRPr="006439EA">
        <w:t xml:space="preserve"> (</w:t>
      </w:r>
      <w:proofErr w:type="spellStart"/>
      <w:r w:rsidR="006439EA" w:rsidRPr="006439EA">
        <w:t>Talzenna</w:t>
      </w:r>
      <w:proofErr w:type="spellEnd"/>
      <w:r w:rsidR="006439EA" w:rsidRPr="006439EA">
        <w:rPr>
          <w:lang w:val="en-US"/>
        </w:rPr>
        <w:t>®)</w:t>
      </w:r>
      <w:r w:rsidR="006439EA" w:rsidRPr="006439EA">
        <w:t xml:space="preserve"> for use in combination with enzalutamide, for the </w:t>
      </w:r>
      <w:r w:rsidR="006169BE" w:rsidRPr="006439EA">
        <w:t>first</w:t>
      </w:r>
      <w:r w:rsidR="006169BE">
        <w:t>-</w:t>
      </w:r>
      <w:r w:rsidR="006439EA" w:rsidRPr="006439EA">
        <w:t>line treatment of metastatic castration-resistant prostate cancer (</w:t>
      </w:r>
      <w:proofErr w:type="spellStart"/>
      <w:r w:rsidR="006439EA" w:rsidRPr="006439EA">
        <w:t>mCRPC</w:t>
      </w:r>
      <w:proofErr w:type="spellEnd"/>
      <w:r w:rsidR="006439EA" w:rsidRPr="006439EA">
        <w:t>)</w:t>
      </w:r>
      <w:r w:rsidR="006169BE">
        <w:t xml:space="preserve"> in patients with breast cancer gene (BRCA)1 or BRCA2 pathogenic variants</w:t>
      </w:r>
    </w:p>
    <w:p w14:paraId="5FCD7E1C" w14:textId="35A37D9F" w:rsidR="006439EA" w:rsidRPr="006439EA" w:rsidRDefault="006141DC" w:rsidP="00915D9C">
      <w:pPr>
        <w:pStyle w:val="ListBullet"/>
      </w:pPr>
      <w:r>
        <w:t>O</w:t>
      </w:r>
      <w:r w:rsidR="006439EA" w:rsidRPr="006439EA">
        <w:t>laparib (Lynparza</w:t>
      </w:r>
      <w:r w:rsidR="006439EA" w:rsidRPr="006439EA">
        <w:rPr>
          <w:lang w:val="en-US"/>
        </w:rPr>
        <w:t>®</w:t>
      </w:r>
      <w:r w:rsidR="006439EA" w:rsidRPr="006439EA">
        <w:t>) for the treatment of patients with human epidermal growth factor receptor 2 (HER2)-negative metastatic breast cancer and a confirmed BRCA1 or</w:t>
      </w:r>
      <w:r>
        <w:t xml:space="preserve"> </w:t>
      </w:r>
      <w:r w:rsidR="006439EA" w:rsidRPr="006439EA">
        <w:t>BRCA2 pathogenic variant</w:t>
      </w:r>
    </w:p>
    <w:p w14:paraId="682D9D96" w14:textId="758731C3" w:rsidR="006439EA" w:rsidRPr="00915D9C" w:rsidRDefault="006439EA" w:rsidP="002F0714">
      <w:pPr>
        <w:pStyle w:val="Heading2"/>
      </w:pPr>
      <w:r w:rsidRPr="00915D9C">
        <w:t>New and amended listings from 1 March 2025</w:t>
      </w:r>
    </w:p>
    <w:p w14:paraId="51FDAD98" w14:textId="7BCDEEFF" w:rsidR="006439EA" w:rsidRPr="006439EA" w:rsidRDefault="006141DC" w:rsidP="00915D9C">
      <w:pPr>
        <w:pStyle w:val="ListBullet"/>
      </w:pPr>
      <w:r>
        <w:t>R</w:t>
      </w:r>
      <w:r w:rsidR="006439EA" w:rsidRPr="006439EA">
        <w:t>isankizumab (</w:t>
      </w:r>
      <w:proofErr w:type="spellStart"/>
      <w:r w:rsidR="006439EA" w:rsidRPr="006439EA">
        <w:t>Skyrizi</w:t>
      </w:r>
      <w:proofErr w:type="spellEnd"/>
      <w:r w:rsidR="006439EA" w:rsidRPr="006439EA">
        <w:rPr>
          <w:lang w:val="en-US"/>
        </w:rPr>
        <w:t>®</w:t>
      </w:r>
      <w:r w:rsidR="006439EA" w:rsidRPr="006439EA">
        <w:t xml:space="preserve">) </w:t>
      </w:r>
      <w:r w:rsidR="00327A05">
        <w:t>for</w:t>
      </w:r>
      <w:r w:rsidR="006439EA" w:rsidRPr="006439EA">
        <w:t xml:space="preserve"> the treatment of severe psoriatic arthritis (PsA)</w:t>
      </w:r>
    </w:p>
    <w:p w14:paraId="7B2B95DF" w14:textId="62FB6AD6" w:rsidR="006439EA" w:rsidRPr="006439EA" w:rsidRDefault="006141DC" w:rsidP="00915D9C">
      <w:pPr>
        <w:pStyle w:val="ListBullet"/>
      </w:pPr>
      <w:r>
        <w:t>P</w:t>
      </w:r>
      <w:r w:rsidR="006439EA" w:rsidRPr="006439EA">
        <w:t>rogesterone (</w:t>
      </w:r>
      <w:proofErr w:type="spellStart"/>
      <w:r w:rsidR="006439EA" w:rsidRPr="006439EA">
        <w:t>Prometrium</w:t>
      </w:r>
      <w:proofErr w:type="spellEnd"/>
      <w:r w:rsidR="006439EA" w:rsidRPr="006439EA">
        <w:rPr>
          <w:lang w:val="en-US"/>
        </w:rPr>
        <w:t>®</w:t>
      </w:r>
      <w:r w:rsidR="006439EA" w:rsidRPr="006439EA">
        <w:t xml:space="preserve">) as a General Schedule unrestricted benefit listing, and a corresponding General Schedule restricted benefit listing for 60-day maximum dispensed </w:t>
      </w:r>
      <w:r w:rsidR="006169BE" w:rsidRPr="006439EA">
        <w:t>quantit</w:t>
      </w:r>
      <w:r w:rsidR="006169BE">
        <w:t>y</w:t>
      </w:r>
    </w:p>
    <w:p w14:paraId="37630171" w14:textId="152063B4" w:rsidR="006439EA" w:rsidRPr="006439EA" w:rsidRDefault="006141DC" w:rsidP="00915D9C">
      <w:pPr>
        <w:pStyle w:val="ListBullet"/>
      </w:pPr>
      <w:r>
        <w:t>B</w:t>
      </w:r>
      <w:r w:rsidR="006439EA" w:rsidRPr="006439EA">
        <w:t>linatumomab (</w:t>
      </w:r>
      <w:proofErr w:type="spellStart"/>
      <w:r w:rsidR="006439EA" w:rsidRPr="006439EA">
        <w:t>Blincyto</w:t>
      </w:r>
      <w:proofErr w:type="spellEnd"/>
      <w:r w:rsidR="006439EA" w:rsidRPr="006439EA">
        <w:t>®) for the treatment of patients with B-cell precursor acute lymphoblastic leukaemia (B-ALL)</w:t>
      </w:r>
      <w:r w:rsidR="006C7771">
        <w:t xml:space="preserve"> </w:t>
      </w:r>
      <w:r w:rsidR="006C7771" w:rsidRPr="006C7771">
        <w:rPr>
          <w:bCs/>
        </w:rPr>
        <w:t>who are measurable residual disease (MRD) negative following induction chemotherapy</w:t>
      </w:r>
    </w:p>
    <w:p w14:paraId="6C3B1374" w14:textId="380BF42D" w:rsidR="006439EA" w:rsidRPr="006439EA" w:rsidRDefault="006141DC" w:rsidP="00915D9C">
      <w:pPr>
        <w:pStyle w:val="ListBullet"/>
      </w:pPr>
      <w:proofErr w:type="spellStart"/>
      <w:r>
        <w:t>F</w:t>
      </w:r>
      <w:r w:rsidR="006439EA" w:rsidRPr="006439EA">
        <w:t>aricimab</w:t>
      </w:r>
      <w:proofErr w:type="spellEnd"/>
      <w:r w:rsidR="006439EA" w:rsidRPr="006439EA">
        <w:t xml:space="preserve"> (</w:t>
      </w:r>
      <w:proofErr w:type="spellStart"/>
      <w:r w:rsidR="006439EA" w:rsidRPr="006439EA">
        <w:t>Vabysmo</w:t>
      </w:r>
      <w:proofErr w:type="spellEnd"/>
      <w:r w:rsidR="006439EA" w:rsidRPr="006439EA">
        <w:t>®) for the treatment of macular oedema secondary to retinal vein occlusion</w:t>
      </w:r>
    </w:p>
    <w:p w14:paraId="31664D51" w14:textId="38744431" w:rsidR="006439EA" w:rsidRPr="006439EA" w:rsidRDefault="006141DC" w:rsidP="00915D9C">
      <w:pPr>
        <w:pStyle w:val="ListBullet"/>
      </w:pPr>
      <w:proofErr w:type="spellStart"/>
      <w:r>
        <w:t>O</w:t>
      </w:r>
      <w:r w:rsidR="006439EA" w:rsidRPr="006439EA">
        <w:t>silodr</w:t>
      </w:r>
      <w:r w:rsidR="000876D7">
        <w:t>o</w:t>
      </w:r>
      <w:r w:rsidR="006439EA" w:rsidRPr="006439EA">
        <w:t>stat</w:t>
      </w:r>
      <w:proofErr w:type="spellEnd"/>
      <w:r w:rsidR="006C7771">
        <w:t xml:space="preserve"> </w:t>
      </w:r>
      <w:r w:rsidR="006C7771" w:rsidRPr="006C7771">
        <w:rPr>
          <w:bCs/>
        </w:rPr>
        <w:t>(</w:t>
      </w:r>
      <w:proofErr w:type="spellStart"/>
      <w:r w:rsidR="006C7771" w:rsidRPr="006C7771">
        <w:rPr>
          <w:bCs/>
        </w:rPr>
        <w:t>Isturisa</w:t>
      </w:r>
      <w:proofErr w:type="spellEnd"/>
      <w:r w:rsidR="006C7771" w:rsidRPr="006C7771">
        <w:rPr>
          <w:bCs/>
        </w:rPr>
        <w:t>®)</w:t>
      </w:r>
      <w:r w:rsidR="006439EA" w:rsidRPr="006439EA">
        <w:t xml:space="preserve"> for the treatment of endogenous Cushing's syndrome in adults</w:t>
      </w:r>
    </w:p>
    <w:p w14:paraId="6886072C" w14:textId="535BD77C" w:rsidR="006439EA" w:rsidRPr="006439EA" w:rsidRDefault="006141DC" w:rsidP="00915D9C">
      <w:pPr>
        <w:pStyle w:val="ListBullet"/>
      </w:pPr>
      <w:proofErr w:type="spellStart"/>
      <w:r>
        <w:t>E</w:t>
      </w:r>
      <w:r w:rsidR="006439EA" w:rsidRPr="006439EA">
        <w:t>stradiol</w:t>
      </w:r>
      <w:proofErr w:type="spellEnd"/>
      <w:r w:rsidR="006439EA" w:rsidRPr="006439EA">
        <w:t xml:space="preserve"> and progesterone (</w:t>
      </w:r>
      <w:proofErr w:type="spellStart"/>
      <w:r w:rsidR="006439EA" w:rsidRPr="006439EA">
        <w:t>Estrogel</w:t>
      </w:r>
      <w:proofErr w:type="spellEnd"/>
      <w:r w:rsidR="006439EA" w:rsidRPr="006439EA">
        <w:t xml:space="preserve">® Pro) as a General Schedule unrestricted benefit listing, and a corresponding General Schedule restricted benefit listing for 60-day maximum dispensed </w:t>
      </w:r>
      <w:r w:rsidR="006169BE" w:rsidRPr="006439EA">
        <w:t>quantit</w:t>
      </w:r>
      <w:r w:rsidR="006169BE">
        <w:t>y</w:t>
      </w:r>
    </w:p>
    <w:p w14:paraId="78CE0510" w14:textId="77777777" w:rsidR="006439EA" w:rsidRPr="00915D9C" w:rsidRDefault="006439EA" w:rsidP="002F0714">
      <w:pPr>
        <w:pStyle w:val="Heading2"/>
      </w:pPr>
      <w:r w:rsidRPr="00915D9C">
        <w:t>New and amended listings from 1 April 2025</w:t>
      </w:r>
    </w:p>
    <w:p w14:paraId="65E65583" w14:textId="4D3153B1" w:rsidR="006439EA" w:rsidRDefault="006141DC" w:rsidP="00915D9C">
      <w:pPr>
        <w:pStyle w:val="ListBullet"/>
      </w:pPr>
      <w:r>
        <w:t>P</w:t>
      </w:r>
      <w:r w:rsidR="006439EA" w:rsidRPr="006439EA">
        <w:t>ropylene glycol (Systane® Balance) for treatment of severe dry eye</w:t>
      </w:r>
    </w:p>
    <w:p w14:paraId="506B7A06" w14:textId="47AEE67E" w:rsidR="006439EA" w:rsidRPr="006439EA" w:rsidRDefault="006141DC" w:rsidP="00915D9C">
      <w:pPr>
        <w:pStyle w:val="ListBullet"/>
      </w:pPr>
      <w:r>
        <w:t>D</w:t>
      </w:r>
      <w:r w:rsidR="006439EA" w:rsidRPr="006439EA">
        <w:t>abrafenib</w:t>
      </w:r>
      <w:r w:rsidR="006000DC">
        <w:t xml:space="preserve"> </w:t>
      </w:r>
      <w:r w:rsidR="006000DC" w:rsidRPr="006000DC">
        <w:rPr>
          <w:bCs/>
        </w:rPr>
        <w:t>(</w:t>
      </w:r>
      <w:proofErr w:type="spellStart"/>
      <w:r w:rsidR="006000DC" w:rsidRPr="006000DC">
        <w:rPr>
          <w:bCs/>
        </w:rPr>
        <w:t>Tafinlar</w:t>
      </w:r>
      <w:proofErr w:type="spellEnd"/>
      <w:r w:rsidR="006000DC" w:rsidRPr="006000DC">
        <w:rPr>
          <w:bCs/>
        </w:rPr>
        <w:t xml:space="preserve">®) </w:t>
      </w:r>
      <w:r w:rsidR="006439EA" w:rsidRPr="006439EA">
        <w:t>in combination with trametinib</w:t>
      </w:r>
      <w:r w:rsidR="006000DC">
        <w:t xml:space="preserve"> </w:t>
      </w:r>
      <w:r w:rsidR="006000DC" w:rsidRPr="006000DC">
        <w:rPr>
          <w:bCs/>
        </w:rPr>
        <w:t>(</w:t>
      </w:r>
      <w:proofErr w:type="spellStart"/>
      <w:r w:rsidR="006000DC" w:rsidRPr="006000DC">
        <w:rPr>
          <w:bCs/>
        </w:rPr>
        <w:t>Mekinist</w:t>
      </w:r>
      <w:proofErr w:type="spellEnd"/>
      <w:r w:rsidR="006000DC" w:rsidRPr="006000DC">
        <w:rPr>
          <w:bCs/>
        </w:rPr>
        <w:t xml:space="preserve">®) </w:t>
      </w:r>
      <w:r w:rsidR="006439EA" w:rsidRPr="006439EA">
        <w:t xml:space="preserve">for the treatment of paediatric patients with BRAF V600E mutation positive low-grade glioma (LGG) or </w:t>
      </w:r>
      <w:proofErr w:type="gramStart"/>
      <w:r w:rsidR="006439EA" w:rsidRPr="006439EA">
        <w:t>high grade</w:t>
      </w:r>
      <w:proofErr w:type="gramEnd"/>
      <w:r w:rsidR="006439EA" w:rsidRPr="006439EA">
        <w:t xml:space="preserve"> glioma (HGG)</w:t>
      </w:r>
    </w:p>
    <w:p w14:paraId="35E5B9D8" w14:textId="2D5FDFC7" w:rsidR="006439EA" w:rsidRPr="006000DC" w:rsidRDefault="006141DC" w:rsidP="00915D9C">
      <w:pPr>
        <w:pStyle w:val="ListBullet"/>
      </w:pPr>
      <w:r>
        <w:t>E</w:t>
      </w:r>
      <w:r w:rsidR="006439EA" w:rsidRPr="006000DC">
        <w:t xml:space="preserve">mpagliflozin (Jardiance®) and </w:t>
      </w:r>
      <w:proofErr w:type="spellStart"/>
      <w:r w:rsidR="006439EA" w:rsidRPr="006000DC">
        <w:t>empaglifozin</w:t>
      </w:r>
      <w:proofErr w:type="spellEnd"/>
      <w:r w:rsidR="006439EA" w:rsidRPr="006000DC">
        <w:t xml:space="preserve"> with metformin (Jardiamet®) </w:t>
      </w:r>
      <w:r w:rsidR="006000DC" w:rsidRPr="006000DC">
        <w:rPr>
          <w:bCs/>
        </w:rPr>
        <w:t>for the treatment of diabetes mellitus type 2</w:t>
      </w:r>
      <w:r>
        <w:rPr>
          <w:bCs/>
        </w:rPr>
        <w:t xml:space="preserve"> (T2DM)</w:t>
      </w:r>
      <w:r w:rsidR="002F0714">
        <w:rPr>
          <w:bCs/>
        </w:rPr>
        <w:t>,</w:t>
      </w:r>
      <w:r w:rsidR="006000DC" w:rsidRPr="006000DC">
        <w:rPr>
          <w:bCs/>
        </w:rPr>
        <w:t xml:space="preserve"> to </w:t>
      </w:r>
      <w:r w:rsidR="006000DC" w:rsidRPr="006000DC">
        <w:rPr>
          <w:bCs/>
          <w:lang w:val="en-US"/>
        </w:rPr>
        <w:t xml:space="preserve">include </w:t>
      </w:r>
      <w:r w:rsidR="006169BE">
        <w:rPr>
          <w:bCs/>
          <w:lang w:val="en-US"/>
        </w:rPr>
        <w:t>use with</w:t>
      </w:r>
      <w:r w:rsidR="006000DC" w:rsidRPr="006000DC">
        <w:rPr>
          <w:bCs/>
          <w:lang w:val="en-US"/>
        </w:rPr>
        <w:t xml:space="preserve"> metformin for patients with T2DM and established</w:t>
      </w:r>
      <w:r w:rsidR="006169BE">
        <w:rPr>
          <w:bCs/>
          <w:lang w:val="en-US"/>
        </w:rPr>
        <w:t xml:space="preserve"> cardiovascular disease</w:t>
      </w:r>
      <w:r w:rsidR="006000DC" w:rsidRPr="006000DC">
        <w:rPr>
          <w:bCs/>
          <w:lang w:val="en-US"/>
        </w:rPr>
        <w:t xml:space="preserve"> </w:t>
      </w:r>
      <w:r w:rsidR="006169BE">
        <w:rPr>
          <w:bCs/>
          <w:lang w:val="en-US"/>
        </w:rPr>
        <w:t>(</w:t>
      </w:r>
      <w:r w:rsidR="006000DC" w:rsidRPr="006000DC">
        <w:rPr>
          <w:bCs/>
          <w:lang w:val="en-US"/>
        </w:rPr>
        <w:t>CVD</w:t>
      </w:r>
      <w:r w:rsidR="006169BE">
        <w:rPr>
          <w:bCs/>
          <w:lang w:val="en-US"/>
        </w:rPr>
        <w:t>)</w:t>
      </w:r>
      <w:r w:rsidR="006000DC" w:rsidRPr="006000DC">
        <w:rPr>
          <w:bCs/>
          <w:lang w:val="en-US"/>
        </w:rPr>
        <w:t xml:space="preserve"> or high CV</w:t>
      </w:r>
      <w:r w:rsidR="006169BE">
        <w:rPr>
          <w:bCs/>
          <w:lang w:val="en-US"/>
        </w:rPr>
        <w:t>D</w:t>
      </w:r>
      <w:r w:rsidR="006000DC" w:rsidRPr="006000DC">
        <w:rPr>
          <w:bCs/>
          <w:lang w:val="en-US"/>
        </w:rPr>
        <w:t xml:space="preserve"> risk without the requirement to have a specific unmet </w:t>
      </w:r>
      <w:proofErr w:type="spellStart"/>
      <w:r w:rsidR="006000DC" w:rsidRPr="006000DC">
        <w:rPr>
          <w:bCs/>
          <w:lang w:val="en-US"/>
        </w:rPr>
        <w:t>glycaemic</w:t>
      </w:r>
      <w:proofErr w:type="spellEnd"/>
      <w:r w:rsidR="006000DC" w:rsidRPr="006000DC">
        <w:rPr>
          <w:bCs/>
          <w:lang w:val="en-US"/>
        </w:rPr>
        <w:t xml:space="preserve"> target </w:t>
      </w:r>
      <w:proofErr w:type="spellStart"/>
      <w:r w:rsidR="006000DC">
        <w:t>m</w:t>
      </w:r>
      <w:r w:rsidR="006000DC" w:rsidRPr="006000DC">
        <w:t>omelotinib</w:t>
      </w:r>
      <w:proofErr w:type="spellEnd"/>
      <w:r w:rsidR="006000DC" w:rsidRPr="006000DC">
        <w:t xml:space="preserve"> </w:t>
      </w:r>
      <w:r w:rsidR="006000DC" w:rsidRPr="006000DC">
        <w:rPr>
          <w:bCs/>
          <w:lang w:val="en-US"/>
        </w:rPr>
        <w:t>(</w:t>
      </w:r>
      <w:proofErr w:type="spellStart"/>
      <w:r w:rsidR="006000DC" w:rsidRPr="006000DC">
        <w:rPr>
          <w:bCs/>
          <w:lang w:val="en-US"/>
        </w:rPr>
        <w:t>Omjjara</w:t>
      </w:r>
      <w:proofErr w:type="spellEnd"/>
      <w:r w:rsidR="006000DC" w:rsidRPr="006000DC">
        <w:rPr>
          <w:bCs/>
        </w:rPr>
        <w:t>®</w:t>
      </w:r>
      <w:r w:rsidR="006000DC" w:rsidRPr="006000DC">
        <w:rPr>
          <w:bCs/>
          <w:lang w:val="en-US"/>
        </w:rPr>
        <w:t xml:space="preserve">) </w:t>
      </w:r>
      <w:r w:rsidR="006439EA" w:rsidRPr="006000DC">
        <w:t xml:space="preserve">for the treatment of intermediate or high-risk primary myelofibrosis, post-polycythaemia vera myelofibrosis or post-essential </w:t>
      </w:r>
      <w:proofErr w:type="spellStart"/>
      <w:r w:rsidR="006439EA" w:rsidRPr="006000DC">
        <w:t>thrombocythaemia</w:t>
      </w:r>
      <w:proofErr w:type="spellEnd"/>
      <w:r w:rsidR="006439EA" w:rsidRPr="006000DC">
        <w:t xml:space="preserve"> myelofibrosis in patients with moderate to severe anaemia</w:t>
      </w:r>
    </w:p>
    <w:p w14:paraId="49175542" w14:textId="3B9E1CF8" w:rsidR="006439EA" w:rsidRPr="006439EA" w:rsidRDefault="006141DC" w:rsidP="00915D9C">
      <w:pPr>
        <w:pStyle w:val="ListBullet"/>
      </w:pPr>
      <w:proofErr w:type="spellStart"/>
      <w:r>
        <w:lastRenderedPageBreak/>
        <w:t>R</w:t>
      </w:r>
      <w:r w:rsidR="006439EA" w:rsidRPr="006439EA">
        <w:t>avilizumab</w:t>
      </w:r>
      <w:proofErr w:type="spellEnd"/>
      <w:r w:rsidR="006000DC">
        <w:t xml:space="preserve"> </w:t>
      </w:r>
      <w:r w:rsidR="006000DC" w:rsidRPr="006000DC">
        <w:rPr>
          <w:bCs/>
          <w:lang w:val="en-US"/>
        </w:rPr>
        <w:t>(</w:t>
      </w:r>
      <w:proofErr w:type="spellStart"/>
      <w:r w:rsidR="006000DC" w:rsidRPr="006000DC">
        <w:rPr>
          <w:bCs/>
          <w:lang w:val="en-US"/>
        </w:rPr>
        <w:t>Ultomiris</w:t>
      </w:r>
      <w:proofErr w:type="spellEnd"/>
      <w:r w:rsidR="006000DC" w:rsidRPr="006000DC">
        <w:rPr>
          <w:bCs/>
        </w:rPr>
        <w:t>®</w:t>
      </w:r>
      <w:r w:rsidR="006000DC" w:rsidRPr="006000DC">
        <w:rPr>
          <w:bCs/>
          <w:lang w:val="en-US"/>
        </w:rPr>
        <w:t>)</w:t>
      </w:r>
      <w:r w:rsidR="006439EA" w:rsidRPr="006439EA">
        <w:t xml:space="preserve"> for the treatment of adult patients with neuromyelitis optical spectrum disorders (NMOSD)</w:t>
      </w:r>
    </w:p>
    <w:p w14:paraId="7B624CA6" w14:textId="2D4691A7" w:rsidR="006439EA" w:rsidRPr="00915D9C" w:rsidRDefault="006439EA" w:rsidP="002F0714">
      <w:pPr>
        <w:pStyle w:val="Heading2"/>
      </w:pPr>
      <w:r w:rsidRPr="00915D9C">
        <w:t>New and amended listings from 1 May 2025</w:t>
      </w:r>
    </w:p>
    <w:p w14:paraId="05236356" w14:textId="57F3C61B" w:rsidR="006439EA" w:rsidRPr="006439EA" w:rsidRDefault="006141DC" w:rsidP="00915D9C">
      <w:pPr>
        <w:pStyle w:val="ListBullet"/>
      </w:pPr>
      <w:proofErr w:type="spellStart"/>
      <w:r>
        <w:t>E</w:t>
      </w:r>
      <w:r w:rsidR="006439EA" w:rsidRPr="006439EA">
        <w:t>sketamine</w:t>
      </w:r>
      <w:proofErr w:type="spellEnd"/>
      <w:r w:rsidR="006439EA" w:rsidRPr="006439EA">
        <w:t xml:space="preserve"> (</w:t>
      </w:r>
      <w:proofErr w:type="spellStart"/>
      <w:r w:rsidR="006439EA" w:rsidRPr="006439EA">
        <w:t>Spravato</w:t>
      </w:r>
      <w:proofErr w:type="spellEnd"/>
      <w:r w:rsidR="006439EA" w:rsidRPr="006439EA">
        <w:t>®) for treatment-resistant major depression</w:t>
      </w:r>
    </w:p>
    <w:p w14:paraId="39A6846D" w14:textId="35092B66" w:rsidR="006439EA" w:rsidRPr="006439EA" w:rsidRDefault="006141DC" w:rsidP="00915D9C">
      <w:pPr>
        <w:pStyle w:val="ListBullet"/>
      </w:pPr>
      <w:proofErr w:type="spellStart"/>
      <w:r>
        <w:t>D</w:t>
      </w:r>
      <w:r w:rsidR="006439EA" w:rsidRPr="006439EA">
        <w:t>rospirenone</w:t>
      </w:r>
      <w:proofErr w:type="spellEnd"/>
      <w:r w:rsidR="006439EA" w:rsidRPr="006439EA">
        <w:t xml:space="preserve"> (</w:t>
      </w:r>
      <w:proofErr w:type="spellStart"/>
      <w:r w:rsidR="006439EA" w:rsidRPr="006439EA">
        <w:t>Slinda</w:t>
      </w:r>
      <w:proofErr w:type="spellEnd"/>
      <w:r w:rsidR="006439EA" w:rsidRPr="006439EA">
        <w:t>®) as an unrestricted benefit</w:t>
      </w:r>
    </w:p>
    <w:p w14:paraId="44332D8D" w14:textId="1DB8F323" w:rsidR="006439EA" w:rsidRPr="006439EA" w:rsidRDefault="006141DC" w:rsidP="00915D9C">
      <w:pPr>
        <w:pStyle w:val="ListBullet"/>
      </w:pPr>
      <w:proofErr w:type="spellStart"/>
      <w:r>
        <w:t>E</w:t>
      </w:r>
      <w:r w:rsidR="006439EA" w:rsidRPr="006439EA">
        <w:t>pcoritamab</w:t>
      </w:r>
      <w:proofErr w:type="spellEnd"/>
      <w:r w:rsidR="006439EA" w:rsidRPr="006439EA">
        <w:t xml:space="preserve"> (</w:t>
      </w:r>
      <w:proofErr w:type="spellStart"/>
      <w:r w:rsidR="006439EA" w:rsidRPr="006439EA">
        <w:t>E</w:t>
      </w:r>
      <w:r w:rsidR="006169BE">
        <w:t>p</w:t>
      </w:r>
      <w:r w:rsidR="006439EA" w:rsidRPr="006439EA">
        <w:t>kinly</w:t>
      </w:r>
      <w:proofErr w:type="spellEnd"/>
      <w:r w:rsidR="006439EA" w:rsidRPr="006439EA">
        <w:t>®) for the treatment of patients with relapsed or refractory diffuse large B-cell lymphoma (DLBCL)</w:t>
      </w:r>
    </w:p>
    <w:p w14:paraId="7A675FE6" w14:textId="491A3EDC" w:rsidR="006439EA" w:rsidRPr="006439EA" w:rsidRDefault="006141DC" w:rsidP="00915D9C">
      <w:pPr>
        <w:pStyle w:val="ListBullet"/>
      </w:pPr>
      <w:proofErr w:type="spellStart"/>
      <w:r>
        <w:t>R</w:t>
      </w:r>
      <w:r w:rsidR="006F121D">
        <w:t>elugolix</w:t>
      </w:r>
      <w:proofErr w:type="spellEnd"/>
      <w:r w:rsidR="006F121D">
        <w:t xml:space="preserve"> with </w:t>
      </w:r>
      <w:proofErr w:type="spellStart"/>
      <w:r w:rsidR="006F121D">
        <w:t>e</w:t>
      </w:r>
      <w:r w:rsidR="006439EA" w:rsidRPr="006439EA">
        <w:t>stradiol</w:t>
      </w:r>
      <w:proofErr w:type="spellEnd"/>
      <w:r w:rsidR="006439EA" w:rsidRPr="006439EA">
        <w:t xml:space="preserve"> </w:t>
      </w:r>
      <w:r w:rsidR="006F121D">
        <w:t xml:space="preserve">and </w:t>
      </w:r>
      <w:r w:rsidR="006439EA" w:rsidRPr="006439EA">
        <w:t>with norethisterone (</w:t>
      </w:r>
      <w:proofErr w:type="spellStart"/>
      <w:r w:rsidR="006439EA" w:rsidRPr="006439EA">
        <w:t>Ryeqo</w:t>
      </w:r>
      <w:proofErr w:type="spellEnd"/>
      <w:r w:rsidR="006439EA" w:rsidRPr="006439EA">
        <w:t>®) for the treatment of moderate to severe pain associated with endometriosis</w:t>
      </w:r>
    </w:p>
    <w:p w14:paraId="516AB829" w14:textId="7AD55B22" w:rsidR="006439EA" w:rsidRPr="006439EA" w:rsidRDefault="006439EA" w:rsidP="005B57C2">
      <w:pPr>
        <w:pStyle w:val="BodyText"/>
      </w:pPr>
      <w:r w:rsidRPr="007E0835">
        <w:t xml:space="preserve">Services Australia will </w:t>
      </w:r>
      <w:r w:rsidR="002F0714">
        <w:t>get</w:t>
      </w:r>
      <w:r w:rsidR="002F0714" w:rsidRPr="007E0835">
        <w:t xml:space="preserve"> </w:t>
      </w:r>
      <w:r w:rsidRPr="007E0835">
        <w:t>$</w:t>
      </w:r>
      <w:r w:rsidR="009D5A4A" w:rsidRPr="005A7C4A">
        <w:t>0.4</w:t>
      </w:r>
      <w:r w:rsidRPr="007E0835">
        <w:t xml:space="preserve"> million in 2024–25, and $</w:t>
      </w:r>
      <w:r w:rsidR="009D5A4A" w:rsidRPr="005A7C4A">
        <w:t>0.</w:t>
      </w:r>
      <w:r w:rsidR="000A05D6">
        <w:t>5</w:t>
      </w:r>
      <w:r w:rsidRPr="007E0835">
        <w:t xml:space="preserve"> million over 4 years through to 2028</w:t>
      </w:r>
      <w:r w:rsidR="002F0714">
        <w:t>–</w:t>
      </w:r>
      <w:r w:rsidRPr="007E0835">
        <w:t>29</w:t>
      </w:r>
      <w:r w:rsidR="004A0AC1">
        <w:t xml:space="preserve"> for this measure</w:t>
      </w:r>
      <w:r w:rsidRPr="007E0835">
        <w:t>.</w:t>
      </w:r>
      <w:r w:rsidRPr="006439EA">
        <w:t xml:space="preserve"> </w:t>
      </w:r>
    </w:p>
    <w:p w14:paraId="7EB9F02D" w14:textId="4C2EFB8F" w:rsidR="00EE67E4" w:rsidRPr="006439EA" w:rsidRDefault="006439EA" w:rsidP="005B57C2">
      <w:pPr>
        <w:pStyle w:val="BodyText"/>
      </w:pPr>
      <w:r w:rsidRPr="006439EA">
        <w:t>The PBS is managed by the Department of Health and Aged Care and administered by Services Australia.</w:t>
      </w:r>
    </w:p>
    <w:p w14:paraId="333CC52A" w14:textId="2D3ED5C7" w:rsidR="00EE67E4" w:rsidRPr="00EE67E4" w:rsidRDefault="006439EA" w:rsidP="00EE67E4">
      <w:pPr>
        <w:pStyle w:val="BodyText"/>
      </w:pPr>
      <w:r>
        <w:t>This measure is not subject to legislation passing.</w:t>
      </w:r>
    </w:p>
    <w:p w14:paraId="3D64A64A" w14:textId="77777777" w:rsidR="00EE67E4" w:rsidRPr="00D52C59" w:rsidRDefault="00EE67E4" w:rsidP="005A7C4A">
      <w:pPr>
        <w:pStyle w:val="Heading2"/>
        <w:spacing w:after="120"/>
      </w:pPr>
      <w:r w:rsidRPr="00D52C59">
        <w:t>Who this measure affect</w:t>
      </w:r>
      <w:r>
        <w:t>s</w:t>
      </w:r>
    </w:p>
    <w:p w14:paraId="594C2A0A" w14:textId="23B382E5" w:rsidR="00EE67E4" w:rsidRPr="008E4E63" w:rsidRDefault="00EE67E4" w:rsidP="005A7C4A">
      <w:pPr>
        <w:pStyle w:val="BodyText"/>
        <w:spacing w:after="0"/>
      </w:pPr>
      <w:r>
        <w:t xml:space="preserve">This affects </w:t>
      </w:r>
      <w:r w:rsidR="00FA4895" w:rsidRPr="00FA4895">
        <w:t>Australian residents and overseas visitors from countries under Reciprocal Health Care Agreements.</w:t>
      </w:r>
    </w:p>
    <w:p w14:paraId="59F5B492" w14:textId="77777777" w:rsidR="00EE67E4" w:rsidRPr="00D52C59" w:rsidRDefault="00EE67E4" w:rsidP="005A7C4A">
      <w:pPr>
        <w:pStyle w:val="Heading2"/>
        <w:spacing w:before="240" w:after="120"/>
      </w:pPr>
      <w:r w:rsidRPr="00D52C59">
        <w:t>When this start</w:t>
      </w:r>
      <w:r>
        <w:t>s</w:t>
      </w:r>
      <w:r w:rsidRPr="00D52C59">
        <w:t xml:space="preserve"> and finish</w:t>
      </w:r>
      <w:r>
        <w:t>es</w:t>
      </w:r>
    </w:p>
    <w:p w14:paraId="5E54ECED" w14:textId="07CE5D79" w:rsidR="00EE67E4" w:rsidRPr="00F85C8F" w:rsidRDefault="00FA4895" w:rsidP="005B57C2">
      <w:pPr>
        <w:pStyle w:val="BodyText"/>
      </w:pPr>
      <w:r w:rsidRPr="005B57C2">
        <w:t>The new and amended PBS listings are effective from dates stated above and are ongoing.</w:t>
      </w:r>
      <w:bookmarkEnd w:id="0"/>
    </w:p>
    <w:sectPr w:rsidR="00EE67E4" w:rsidRPr="00F85C8F" w:rsidSect="00183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2" w:right="1133" w:bottom="993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4850D" w14:textId="77777777" w:rsidR="00762785" w:rsidRDefault="00762785" w:rsidP="004E6AEA">
      <w:r>
        <w:separator/>
      </w:r>
    </w:p>
  </w:endnote>
  <w:endnote w:type="continuationSeparator" w:id="0">
    <w:p w14:paraId="68E50909" w14:textId="77777777" w:rsidR="00762785" w:rsidRDefault="00762785" w:rsidP="004E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F4E18" w14:textId="2BE8C940" w:rsidR="002A2347" w:rsidRDefault="00CC14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C7D6562" wp14:editId="0C1E06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35330" cy="376555"/>
              <wp:effectExtent l="0" t="0" r="7620" b="0"/>
              <wp:wrapNone/>
              <wp:docPr id="1878385985" name="Text Box 5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3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DA4D4" w14:textId="0D895D31" w:rsidR="00CC148F" w:rsidRPr="00CC148F" w:rsidRDefault="00CC148F" w:rsidP="00CC14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C148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D65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PROTECTED" style="position:absolute;margin-left:0;margin-top:0;width:57.9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" filled="f" stroked="f">
              <v:textbox style="mso-fit-shape-to-text:t" inset="0,0,0,15pt">
                <w:txbxContent>
                  <w:p w14:paraId="725DA4D4" w14:textId="0D895D31" w:rsidR="00CC148F" w:rsidRPr="00CC148F" w:rsidRDefault="00CC148F" w:rsidP="00CC14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C148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30593" w14:textId="32048CEC" w:rsidR="00857DDC" w:rsidRPr="0092265D" w:rsidRDefault="0092265D" w:rsidP="0092265D">
    <w:pPr>
      <w:pStyle w:val="Footer"/>
      <w:pBdr>
        <w:top w:val="single" w:sz="4" w:space="3" w:color="000000" w:themeColor="text1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2</w:t>
    </w:r>
    <w:r w:rsidRPr="00AA311A">
      <w:fldChar w:fldCharType="end"/>
    </w:r>
    <w:r w:rsidRPr="00AA311A">
      <w:t xml:space="preserve"> of </w:t>
    </w:r>
    <w:fldSimple w:instr=" NUMPAGES  \* Arabic  \* MERGEFORMAT ">
      <w:r>
        <w:t>3</w:t>
      </w:r>
    </w:fldSimple>
    <w:r>
      <w:ptab w:relativeTo="margin" w:alignment="center" w:leader="none"/>
    </w:r>
    <w:r>
      <w:ptab w:relativeTo="margin" w:alignment="right" w:leader="none"/>
    </w:r>
    <w:r>
      <w:t>Services Australia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B6ACB" w14:textId="1887A6FE" w:rsidR="00857DDC" w:rsidRPr="0092265D" w:rsidRDefault="0092265D" w:rsidP="0092265D">
    <w:pPr>
      <w:pStyle w:val="Footer"/>
      <w:pBdr>
        <w:top w:val="single" w:sz="4" w:space="3" w:color="auto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1</w:t>
    </w:r>
    <w:r w:rsidRPr="00AA311A">
      <w:fldChar w:fldCharType="end"/>
    </w:r>
    <w:r w:rsidRPr="00AA311A">
      <w:t xml:space="preserve"> of </w:t>
    </w:r>
    <w:fldSimple w:instr=" NUMPAGES  \* Arabic  \* MERGEFORMAT ">
      <w:r>
        <w:t>3</w:t>
      </w:r>
    </w:fldSimple>
    <w:r>
      <w:ptab w:relativeTo="margin" w:alignment="center" w:leader="none"/>
    </w:r>
    <w:r>
      <w:ptab w:relativeTo="margin" w:alignment="right" w:leader="none"/>
    </w:r>
    <w:r>
      <w:t>Services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D7BAF" w14:textId="77777777" w:rsidR="00762785" w:rsidRDefault="00762785" w:rsidP="004E6AEA">
      <w:r>
        <w:separator/>
      </w:r>
    </w:p>
  </w:footnote>
  <w:footnote w:type="continuationSeparator" w:id="0">
    <w:p w14:paraId="31B2E5A5" w14:textId="77777777" w:rsidR="00762785" w:rsidRDefault="00762785" w:rsidP="004E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C1C15" w14:textId="52A64AC2" w:rsidR="002A2347" w:rsidRDefault="00CC14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8ECB65" wp14:editId="63523DD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35330" cy="376555"/>
              <wp:effectExtent l="0" t="0" r="7620" b="4445"/>
              <wp:wrapNone/>
              <wp:docPr id="1684491284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3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95346" w14:textId="620C866F" w:rsidR="00CC148F" w:rsidRPr="00CC148F" w:rsidRDefault="00CC148F" w:rsidP="00CC14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C148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ECB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57.9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" filled="f" stroked="f">
              <v:textbox style="mso-fit-shape-to-text:t" inset="0,15pt,0,0">
                <w:txbxContent>
                  <w:p w14:paraId="52495346" w14:textId="620C866F" w:rsidR="00CC148F" w:rsidRPr="00CC148F" w:rsidRDefault="00CC148F" w:rsidP="00CC14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C148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E0B8E" w14:textId="475F6723" w:rsidR="0092265D" w:rsidRPr="00415BA9" w:rsidRDefault="00EE67E4" w:rsidP="0092265D">
    <w:pPr>
      <w:pStyle w:val="BodyText"/>
      <w:pBdr>
        <w:bottom w:val="single" w:sz="4" w:space="3" w:color="auto"/>
      </w:pBdr>
    </w:pPr>
    <w:r>
      <w:t>Budget 2025–26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4EC7A" w14:textId="759E2EA9" w:rsidR="001F77EC" w:rsidRDefault="002A2347">
    <w:pPr>
      <w:pStyle w:val="Header"/>
    </w:pPr>
    <w:r>
      <w:rPr>
        <w:noProof/>
      </w:rPr>
      <w:drawing>
        <wp:inline distT="0" distB="0" distL="0" distR="0" wp14:anchorId="6585BBCB" wp14:editId="5070F584">
          <wp:extent cx="2236484" cy="610716"/>
          <wp:effectExtent l="0" t="0" r="0" b="0"/>
          <wp:docPr id="2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0" descr="Australian Government Services Austral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3F88B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696B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ABE3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B06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412A1"/>
    <w:multiLevelType w:val="hybridMultilevel"/>
    <w:tmpl w:val="AD981C16"/>
    <w:lvl w:ilvl="0" w:tplc="78BE8D84">
      <w:start w:val="1"/>
      <w:numFmt w:val="bullet"/>
      <w:pStyle w:val="ListBulle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B2A5F"/>
    <w:multiLevelType w:val="hybridMultilevel"/>
    <w:tmpl w:val="70A006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A26B3"/>
    <w:multiLevelType w:val="hybridMultilevel"/>
    <w:tmpl w:val="4C1AF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A5207"/>
    <w:multiLevelType w:val="hybridMultilevel"/>
    <w:tmpl w:val="1B54A74A"/>
    <w:lvl w:ilvl="0" w:tplc="514E9D9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B31082"/>
    <w:multiLevelType w:val="hybridMultilevel"/>
    <w:tmpl w:val="208626AC"/>
    <w:lvl w:ilvl="0" w:tplc="EF6A4FA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C40F8"/>
    <w:multiLevelType w:val="hybridMultilevel"/>
    <w:tmpl w:val="E46ED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697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4343E8"/>
    <w:multiLevelType w:val="hybridMultilevel"/>
    <w:tmpl w:val="DE446A40"/>
    <w:lvl w:ilvl="0" w:tplc="785A75D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8857974">
    <w:abstractNumId w:val="9"/>
  </w:num>
  <w:num w:numId="2" w16cid:durableId="220675448">
    <w:abstractNumId w:val="5"/>
  </w:num>
  <w:num w:numId="3" w16cid:durableId="1315984111">
    <w:abstractNumId w:val="8"/>
  </w:num>
  <w:num w:numId="4" w16cid:durableId="1954048990">
    <w:abstractNumId w:val="12"/>
  </w:num>
  <w:num w:numId="5" w16cid:durableId="308634092">
    <w:abstractNumId w:val="3"/>
  </w:num>
  <w:num w:numId="6" w16cid:durableId="2033073758">
    <w:abstractNumId w:val="1"/>
  </w:num>
  <w:num w:numId="7" w16cid:durableId="1283029425">
    <w:abstractNumId w:val="2"/>
  </w:num>
  <w:num w:numId="8" w16cid:durableId="580452636">
    <w:abstractNumId w:val="0"/>
  </w:num>
  <w:num w:numId="9" w16cid:durableId="1194271031">
    <w:abstractNumId w:val="11"/>
  </w:num>
  <w:num w:numId="10" w16cid:durableId="1232958053">
    <w:abstractNumId w:val="2"/>
  </w:num>
  <w:num w:numId="11" w16cid:durableId="1932926499">
    <w:abstractNumId w:val="8"/>
    <w:lvlOverride w:ilvl="0">
      <w:startOverride w:val="1"/>
    </w:lvlOverride>
  </w:num>
  <w:num w:numId="12" w16cid:durableId="2070417430">
    <w:abstractNumId w:val="8"/>
    <w:lvlOverride w:ilvl="0">
      <w:startOverride w:val="1"/>
    </w:lvlOverride>
  </w:num>
  <w:num w:numId="13" w16cid:durableId="319429306">
    <w:abstractNumId w:val="6"/>
  </w:num>
  <w:num w:numId="14" w16cid:durableId="1076588070">
    <w:abstractNumId w:val="13"/>
  </w:num>
  <w:num w:numId="15" w16cid:durableId="1259366255">
    <w:abstractNumId w:val="4"/>
  </w:num>
  <w:num w:numId="16" w16cid:durableId="720205229">
    <w:abstractNumId w:val="10"/>
  </w:num>
  <w:num w:numId="17" w16cid:durableId="961686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E4"/>
    <w:rsid w:val="000047F4"/>
    <w:rsid w:val="000327E5"/>
    <w:rsid w:val="00037BBD"/>
    <w:rsid w:val="00076647"/>
    <w:rsid w:val="00086472"/>
    <w:rsid w:val="000876D7"/>
    <w:rsid w:val="000A05D6"/>
    <w:rsid w:val="000A05EC"/>
    <w:rsid w:val="000B15CD"/>
    <w:rsid w:val="000B3A39"/>
    <w:rsid w:val="000D5B48"/>
    <w:rsid w:val="000F6C75"/>
    <w:rsid w:val="00133096"/>
    <w:rsid w:val="00145C8E"/>
    <w:rsid w:val="00182AC6"/>
    <w:rsid w:val="0018373A"/>
    <w:rsid w:val="001A617D"/>
    <w:rsid w:val="001A6471"/>
    <w:rsid w:val="001D4AB4"/>
    <w:rsid w:val="001F028A"/>
    <w:rsid w:val="001F77EC"/>
    <w:rsid w:val="0023440B"/>
    <w:rsid w:val="002355E7"/>
    <w:rsid w:val="00242A4E"/>
    <w:rsid w:val="00252417"/>
    <w:rsid w:val="00275814"/>
    <w:rsid w:val="00283885"/>
    <w:rsid w:val="0028450A"/>
    <w:rsid w:val="00297A83"/>
    <w:rsid w:val="002A2347"/>
    <w:rsid w:val="002C14C3"/>
    <w:rsid w:val="002C5C7B"/>
    <w:rsid w:val="002F0714"/>
    <w:rsid w:val="00327A05"/>
    <w:rsid w:val="00351105"/>
    <w:rsid w:val="00382659"/>
    <w:rsid w:val="003B62E1"/>
    <w:rsid w:val="003C7C2D"/>
    <w:rsid w:val="003E6DA9"/>
    <w:rsid w:val="003F37C0"/>
    <w:rsid w:val="004047C9"/>
    <w:rsid w:val="00404A91"/>
    <w:rsid w:val="0041526C"/>
    <w:rsid w:val="004722D7"/>
    <w:rsid w:val="0048747A"/>
    <w:rsid w:val="00492E73"/>
    <w:rsid w:val="004A0AC1"/>
    <w:rsid w:val="004A65EC"/>
    <w:rsid w:val="004C26DC"/>
    <w:rsid w:val="004C3BD5"/>
    <w:rsid w:val="004E1A66"/>
    <w:rsid w:val="004E6AEA"/>
    <w:rsid w:val="00565305"/>
    <w:rsid w:val="00591750"/>
    <w:rsid w:val="005A1C4D"/>
    <w:rsid w:val="005A7C4A"/>
    <w:rsid w:val="005B57C2"/>
    <w:rsid w:val="005E578E"/>
    <w:rsid w:val="005E7245"/>
    <w:rsid w:val="006000DC"/>
    <w:rsid w:val="006103A0"/>
    <w:rsid w:val="006141DC"/>
    <w:rsid w:val="006169BE"/>
    <w:rsid w:val="00621F5A"/>
    <w:rsid w:val="0064368D"/>
    <w:rsid w:val="006439EA"/>
    <w:rsid w:val="006525C6"/>
    <w:rsid w:val="006531C0"/>
    <w:rsid w:val="00660FA4"/>
    <w:rsid w:val="006759D4"/>
    <w:rsid w:val="00683B89"/>
    <w:rsid w:val="006938FD"/>
    <w:rsid w:val="006969B9"/>
    <w:rsid w:val="006A0A18"/>
    <w:rsid w:val="006C6DBC"/>
    <w:rsid w:val="006C7771"/>
    <w:rsid w:val="006D0926"/>
    <w:rsid w:val="006E33EA"/>
    <w:rsid w:val="006F121D"/>
    <w:rsid w:val="00700060"/>
    <w:rsid w:val="00711788"/>
    <w:rsid w:val="00717384"/>
    <w:rsid w:val="00730090"/>
    <w:rsid w:val="00762785"/>
    <w:rsid w:val="007B4B9F"/>
    <w:rsid w:val="007D58C2"/>
    <w:rsid w:val="007E0835"/>
    <w:rsid w:val="00800268"/>
    <w:rsid w:val="00816AC0"/>
    <w:rsid w:val="00844838"/>
    <w:rsid w:val="008557F5"/>
    <w:rsid w:val="00856048"/>
    <w:rsid w:val="00857DDC"/>
    <w:rsid w:val="00886258"/>
    <w:rsid w:val="00892F3E"/>
    <w:rsid w:val="0089520C"/>
    <w:rsid w:val="008B79CE"/>
    <w:rsid w:val="008D0A4C"/>
    <w:rsid w:val="008D6724"/>
    <w:rsid w:val="008E2D47"/>
    <w:rsid w:val="00915D9C"/>
    <w:rsid w:val="0092265D"/>
    <w:rsid w:val="00925623"/>
    <w:rsid w:val="0094247F"/>
    <w:rsid w:val="009452D5"/>
    <w:rsid w:val="009646C2"/>
    <w:rsid w:val="009804D4"/>
    <w:rsid w:val="009B2AC7"/>
    <w:rsid w:val="009D5A4A"/>
    <w:rsid w:val="00A31383"/>
    <w:rsid w:val="00A34437"/>
    <w:rsid w:val="00A5078B"/>
    <w:rsid w:val="00A53BDC"/>
    <w:rsid w:val="00A7312E"/>
    <w:rsid w:val="00A84C8B"/>
    <w:rsid w:val="00AB57D1"/>
    <w:rsid w:val="00AB6D37"/>
    <w:rsid w:val="00AC2DC1"/>
    <w:rsid w:val="00AC4960"/>
    <w:rsid w:val="00AC6A94"/>
    <w:rsid w:val="00AF00DB"/>
    <w:rsid w:val="00AF0290"/>
    <w:rsid w:val="00B04DB0"/>
    <w:rsid w:val="00B06B52"/>
    <w:rsid w:val="00B666E9"/>
    <w:rsid w:val="00B833EC"/>
    <w:rsid w:val="00BF0372"/>
    <w:rsid w:val="00C027BD"/>
    <w:rsid w:val="00C36735"/>
    <w:rsid w:val="00C44E1D"/>
    <w:rsid w:val="00C702D4"/>
    <w:rsid w:val="00C72793"/>
    <w:rsid w:val="00C8706A"/>
    <w:rsid w:val="00C93577"/>
    <w:rsid w:val="00C979EB"/>
    <w:rsid w:val="00CC148F"/>
    <w:rsid w:val="00D036A3"/>
    <w:rsid w:val="00D71EBE"/>
    <w:rsid w:val="00D90EB3"/>
    <w:rsid w:val="00DA7D7E"/>
    <w:rsid w:val="00E61B08"/>
    <w:rsid w:val="00E74ED5"/>
    <w:rsid w:val="00EB370A"/>
    <w:rsid w:val="00EE67E4"/>
    <w:rsid w:val="00F031F8"/>
    <w:rsid w:val="00F04C7F"/>
    <w:rsid w:val="00F25833"/>
    <w:rsid w:val="00F555C0"/>
    <w:rsid w:val="00F72997"/>
    <w:rsid w:val="00F953D7"/>
    <w:rsid w:val="00FA2C46"/>
    <w:rsid w:val="00FA3DF5"/>
    <w:rsid w:val="00FA42ED"/>
    <w:rsid w:val="00FA4895"/>
    <w:rsid w:val="00FB0802"/>
    <w:rsid w:val="00FD4325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404C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 w:unhideWhenUsed="1"/>
    <w:lsdException w:name="Smart Link" w:semiHidden="1"/>
  </w:latentStyles>
  <w:style w:type="paragraph" w:default="1" w:styleId="Normal">
    <w:name w:val="Normal"/>
    <w:semiHidden/>
    <w:rsid w:val="00683B89"/>
    <w:p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4E6AEA"/>
    <w:pPr>
      <w:keepNext/>
      <w:spacing w:before="480" w:after="360"/>
      <w:outlineLvl w:val="0"/>
    </w:pPr>
    <w:rPr>
      <w:rFonts w:asciiTheme="majorHAnsi" w:hAnsiTheme="majorHAnsi"/>
      <w:b/>
      <w:bCs/>
      <w:kern w:val="32"/>
      <w:sz w:val="40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4E6AEA"/>
    <w:pPr>
      <w:keepNext/>
      <w:spacing w:before="60" w:after="240"/>
      <w:outlineLvl w:val="1"/>
    </w:pPr>
    <w:rPr>
      <w:rFonts w:asciiTheme="majorHAnsi" w:hAnsiTheme="majorHAnsi"/>
      <w:b/>
      <w:bCs/>
      <w:iCs/>
      <w:color w:val="000000"/>
      <w:sz w:val="32"/>
      <w:szCs w:val="28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800268"/>
    <w:pPr>
      <w:keepNext/>
      <w:spacing w:before="60"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800268"/>
    <w:pPr>
      <w:keepNext/>
      <w:spacing w:before="240" w:after="240"/>
      <w:outlineLvl w:val="3"/>
    </w:pPr>
    <w:rPr>
      <w:rFonts w:asciiTheme="majorHAnsi" w:hAnsiTheme="majorHAnsi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00268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uiPriority w:val="99"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Blue Header Char"/>
    <w:basedOn w:val="DefaultParagraphFont"/>
    <w:link w:val="Header"/>
    <w:uiPriority w:val="99"/>
    <w:rsid w:val="00037BBD"/>
    <w:rPr>
      <w:rFonts w:ascii="Roboto" w:eastAsia="Times New Roman" w:hAnsi="Roboto" w:cs="Arial"/>
      <w:sz w:val="20"/>
      <w:lang w:eastAsia="en-AU"/>
    </w:rPr>
  </w:style>
  <w:style w:type="paragraph" w:styleId="Footer">
    <w:name w:val="footer"/>
    <w:basedOn w:val="BodyText"/>
    <w:link w:val="FooterChar"/>
    <w:uiPriority w:val="99"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7BBD"/>
    <w:rPr>
      <w:rFonts w:ascii="Roboto" w:eastAsia="Times New Roman" w:hAnsi="Roboto" w:cs="Arial"/>
      <w:sz w:val="20"/>
      <w:lang w:eastAsia="en-AU"/>
    </w:rPr>
  </w:style>
  <w:style w:type="paragraph" w:styleId="ListBullet">
    <w:name w:val="List Bullet"/>
    <w:basedOn w:val="BodyText"/>
    <w:uiPriority w:val="1"/>
    <w:qFormat/>
    <w:rsid w:val="009B2AC7"/>
    <w:pPr>
      <w:numPr>
        <w:numId w:val="1"/>
      </w:numPr>
    </w:pPr>
  </w:style>
  <w:style w:type="paragraph" w:styleId="ListBullet2">
    <w:name w:val="List Bullet 2"/>
    <w:basedOn w:val="BodyText"/>
    <w:uiPriority w:val="1"/>
    <w:qFormat/>
    <w:rsid w:val="008E2D47"/>
    <w:pPr>
      <w:numPr>
        <w:numId w:val="2"/>
      </w:numPr>
    </w:pPr>
  </w:style>
  <w:style w:type="paragraph" w:styleId="ListNumber">
    <w:name w:val="List Number"/>
    <w:basedOn w:val="BodyText"/>
    <w:uiPriority w:val="5"/>
    <w:qFormat/>
    <w:rsid w:val="009B2AC7"/>
    <w:pPr>
      <w:numPr>
        <w:numId w:val="3"/>
      </w:numPr>
      <w:ind w:left="357" w:hanging="357"/>
    </w:pPr>
  </w:style>
  <w:style w:type="paragraph" w:styleId="ListNumber2">
    <w:name w:val="List Number 2"/>
    <w:basedOn w:val="BodyText"/>
    <w:uiPriority w:val="2"/>
    <w:qFormat/>
    <w:rsid w:val="009B2AC7"/>
    <w:pPr>
      <w:numPr>
        <w:numId w:val="4"/>
      </w:numPr>
      <w:ind w:left="680" w:hanging="340"/>
    </w:pPr>
  </w:style>
  <w:style w:type="character" w:styleId="Hyperlink">
    <w:name w:val="Hyperlink"/>
    <w:rsid w:val="00857DDC"/>
    <w:rPr>
      <w:color w:val="0000FF"/>
      <w:u w:val="single"/>
    </w:rPr>
  </w:style>
  <w:style w:type="table" w:styleId="TableGrid">
    <w:name w:val="Table Grid"/>
    <w:basedOn w:val="TableNormal"/>
    <w:rsid w:val="0085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6AEA"/>
    <w:rPr>
      <w:rFonts w:asciiTheme="majorHAnsi" w:eastAsia="Times New Roman" w:hAnsiTheme="majorHAnsi" w:cs="Arial"/>
      <w:b/>
      <w:bCs/>
      <w:kern w:val="32"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E6AEA"/>
    <w:rPr>
      <w:rFonts w:asciiTheme="majorHAnsi" w:eastAsia="Times New Roman" w:hAnsiTheme="majorHAnsi" w:cs="Arial"/>
      <w:b/>
      <w:bCs/>
      <w:iCs/>
      <w:color w:val="000000"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00268"/>
    <w:rPr>
      <w:rFonts w:asciiTheme="majorHAnsi" w:eastAsia="Times New Roman" w:hAnsiTheme="majorHAns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00268"/>
    <w:rPr>
      <w:rFonts w:asciiTheme="majorHAnsi" w:eastAsia="Times New Roman" w:hAnsiTheme="majorHAnsi" w:cs="Arial"/>
      <w:b/>
      <w:bCs/>
      <w:sz w:val="24"/>
      <w:lang w:eastAsia="en-AU"/>
    </w:rPr>
  </w:style>
  <w:style w:type="paragraph" w:styleId="BodyText">
    <w:name w:val="Body Text"/>
    <w:basedOn w:val="Normal"/>
    <w:link w:val="BodyTextChar"/>
    <w:qFormat/>
    <w:rsid w:val="006531C0"/>
  </w:style>
  <w:style w:type="character" w:customStyle="1" w:styleId="BodyTextChar">
    <w:name w:val="Body Text Char"/>
    <w:basedOn w:val="DefaultParagraphFont"/>
    <w:link w:val="BodyText"/>
    <w:rsid w:val="008E2D47"/>
    <w:rPr>
      <w:rFonts w:ascii="Roboto" w:eastAsia="Times New Roman" w:hAnsi="Roboto" w:cs="Arial"/>
      <w:sz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800268"/>
    <w:rPr>
      <w:rFonts w:asciiTheme="majorHAnsi" w:eastAsiaTheme="majorEastAsia" w:hAnsiTheme="majorHAnsi" w:cstheme="majorBidi"/>
      <w:sz w:val="24"/>
      <w:lang w:eastAsia="en-AU"/>
    </w:rPr>
  </w:style>
  <w:style w:type="paragraph" w:styleId="Title">
    <w:name w:val="Title"/>
    <w:basedOn w:val="BodyText"/>
    <w:next w:val="BodyText"/>
    <w:link w:val="TitleChar"/>
    <w:uiPriority w:val="8"/>
    <w:qFormat/>
    <w:rsid w:val="00683B89"/>
    <w:pPr>
      <w:spacing w:before="720" w:after="360"/>
      <w:contextualSpacing/>
    </w:pPr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8"/>
    <w:rsid w:val="00683B89"/>
    <w:rPr>
      <w:rFonts w:asciiTheme="majorHAnsi" w:eastAsiaTheme="majorEastAsia" w:hAnsiTheme="majorHAnsi" w:cstheme="majorBidi"/>
      <w:b/>
      <w:spacing w:val="-10"/>
      <w:kern w:val="28"/>
      <w:sz w:val="64"/>
      <w:szCs w:val="56"/>
      <w:lang w:eastAsia="en-AU"/>
    </w:rPr>
  </w:style>
  <w:style w:type="paragraph" w:customStyle="1" w:styleId="Classification">
    <w:name w:val="Classification"/>
    <w:basedOn w:val="BodyText"/>
    <w:link w:val="ClassificationChar"/>
    <w:uiPriority w:val="99"/>
    <w:rsid w:val="00283885"/>
    <w:pPr>
      <w:spacing w:before="120"/>
      <w:jc w:val="center"/>
    </w:pPr>
    <w:rPr>
      <w:b/>
      <w:bCs/>
      <w:color w:val="FF0000"/>
      <w:szCs w:val="40"/>
    </w:rPr>
  </w:style>
  <w:style w:type="character" w:customStyle="1" w:styleId="ClassificationChar">
    <w:name w:val="Classification Char"/>
    <w:basedOn w:val="BodyTextChar"/>
    <w:link w:val="Classification"/>
    <w:uiPriority w:val="99"/>
    <w:rsid w:val="00283885"/>
    <w:rPr>
      <w:rFonts w:ascii="Roboto" w:eastAsia="Times New Roman" w:hAnsi="Roboto" w:cs="Arial"/>
      <w:b/>
      <w:bCs/>
      <w:color w:val="FF0000"/>
      <w:sz w:val="20"/>
      <w:szCs w:val="40"/>
      <w:lang w:eastAsia="en-AU"/>
    </w:rPr>
  </w:style>
  <w:style w:type="table" w:styleId="TableGridLight">
    <w:name w:val="Grid Table Light"/>
    <w:basedOn w:val="TableNormal"/>
    <w:uiPriority w:val="40"/>
    <w:rsid w:val="001F77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1F77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1Light">
    <w:name w:val="List Table 1 Light"/>
    <w:basedOn w:val="TableNormal"/>
    <w:uiPriority w:val="46"/>
    <w:rsid w:val="001F77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1F77E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ervicesAustralia-mono">
    <w:name w:val="Services Australia - mono"/>
    <w:basedOn w:val="TableNormal"/>
    <w:uiPriority w:val="99"/>
    <w:rsid w:val="001F77EC"/>
    <w:pPr>
      <w:spacing w:after="0" w:line="240" w:lineRule="auto"/>
    </w:pPr>
    <w:tblPr/>
  </w:style>
  <w:style w:type="paragraph" w:customStyle="1" w:styleId="DHSHeadinglevel3">
    <w:name w:val="DHS Heading level 3"/>
    <w:basedOn w:val="Heading3"/>
    <w:next w:val="DHSBodytext"/>
    <w:qFormat/>
    <w:locked/>
    <w:rsid w:val="00EE67E4"/>
    <w:pPr>
      <w:spacing w:before="240"/>
    </w:pPr>
    <w:rPr>
      <w:rFonts w:ascii="Arial" w:hAnsi="Arial" w:cstheme="minorHAnsi"/>
    </w:rPr>
  </w:style>
  <w:style w:type="paragraph" w:customStyle="1" w:styleId="DHSHeadinglevel4">
    <w:name w:val="DHS Heading level 4"/>
    <w:basedOn w:val="Heading4"/>
    <w:next w:val="DHSBodytext"/>
    <w:locked/>
    <w:rsid w:val="00EE67E4"/>
    <w:pPr>
      <w:spacing w:after="120"/>
    </w:pPr>
    <w:rPr>
      <w:rFonts w:ascii="Arial" w:hAnsi="Arial"/>
    </w:rPr>
  </w:style>
  <w:style w:type="paragraph" w:customStyle="1" w:styleId="DHSBodytext">
    <w:name w:val="DHS Body text"/>
    <w:basedOn w:val="Normal"/>
    <w:qFormat/>
    <w:locked/>
    <w:rsid w:val="00EE67E4"/>
    <w:rPr>
      <w:rFonts w:ascii="Arial" w:hAnsi="Arial" w:cstheme="minorHAns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67E4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EE67E4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EE67E4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EE67E4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E67E4"/>
    <w:rPr>
      <w:color w:val="1B365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0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0D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0DB"/>
    <w:rPr>
      <w:rFonts w:ascii="Roboto" w:eastAsia="Times New Roman" w:hAnsi="Roboto" w:cs="Arial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0DB"/>
    <w:rPr>
      <w:rFonts w:ascii="Roboto" w:eastAsia="Times New Roman" w:hAnsi="Roboto" w:cs="Arial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9D5A4A"/>
    <w:pPr>
      <w:spacing w:after="0" w:line="240" w:lineRule="auto"/>
    </w:pPr>
    <w:rPr>
      <w:rFonts w:ascii="Roboto" w:eastAsia="Times New Roman" w:hAnsi="Roboto" w:cs="Arial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662b56b-7551-4282-85fb-f249a1bf4391}" enabled="1" method="Privileged" siteId="{311f614e-2687-4905-bb5c-f592370e0d41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Pharmaceutical Benefits Scheme new and amended listings</dc:title>
  <dc:subject/>
  <dc:creator>Services Australia</dc:creator>
  <cp:keywords>Budget</cp:keywords>
  <dc:description/>
  <cp:lastModifiedBy/>
  <cp:revision>1</cp:revision>
  <dcterms:created xsi:type="dcterms:W3CDTF">2025-03-25T01:28:00Z</dcterms:created>
  <dcterms:modified xsi:type="dcterms:W3CDTF">2025-03-25T01:39:00Z</dcterms:modified>
</cp:coreProperties>
</file>