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D4A1" w14:textId="4CF5D675" w:rsidR="002544D8" w:rsidRDefault="00387982" w:rsidP="002544D8">
      <w:pPr>
        <w:pStyle w:val="Title"/>
      </w:pPr>
      <w:bookmarkStart w:id="0" w:name="_Toc142718988"/>
      <w:r>
        <w:t xml:space="preserve">Services Australia </w:t>
      </w:r>
      <w:r w:rsidR="00A14F91">
        <w:t xml:space="preserve">statement </w:t>
      </w:r>
      <w:r>
        <w:t xml:space="preserve">of </w:t>
      </w:r>
      <w:r w:rsidR="00A14F91">
        <w:t xml:space="preserve">intent </w:t>
      </w:r>
      <w:r>
        <w:t>2024–25</w:t>
      </w:r>
      <w:bookmarkEnd w:id="0"/>
    </w:p>
    <w:p w14:paraId="0D433279" w14:textId="3AFECC53" w:rsidR="00387982" w:rsidRPr="00D96D86" w:rsidRDefault="00387982" w:rsidP="002544D8">
      <w:pPr>
        <w:pStyle w:val="Heading2"/>
      </w:pPr>
      <w:r>
        <w:t xml:space="preserve">Delivering on the </w:t>
      </w:r>
      <w:r w:rsidR="00A14F91">
        <w:t xml:space="preserve">government’s </w:t>
      </w:r>
      <w:r>
        <w:t>regulatory agenda</w:t>
      </w:r>
    </w:p>
    <w:p w14:paraId="65F40CC5" w14:textId="77777777" w:rsidR="00387982" w:rsidRPr="00387982" w:rsidRDefault="00387982" w:rsidP="00387982">
      <w:pPr>
        <w:pStyle w:val="Heading2"/>
      </w:pPr>
      <w:r>
        <w:t>Introduction</w:t>
      </w:r>
    </w:p>
    <w:p w14:paraId="5E9ABFF9" w14:textId="736D00A3" w:rsidR="00387982" w:rsidRPr="00485243" w:rsidRDefault="00387982" w:rsidP="00387982">
      <w:pPr>
        <w:spacing w:line="240" w:lineRule="auto"/>
        <w:rPr>
          <w:rFonts w:ascii="Calibri" w:hAnsi="Calibri" w:cs="Calibri"/>
          <w:sz w:val="24"/>
          <w:szCs w:val="24"/>
        </w:rPr>
      </w:pPr>
      <w:r w:rsidRPr="00485243">
        <w:rPr>
          <w:rFonts w:ascii="Calibri" w:hAnsi="Calibri" w:cs="Calibri"/>
          <w:sz w:val="24"/>
          <w:szCs w:val="24"/>
        </w:rPr>
        <w:t xml:space="preserve">This </w:t>
      </w:r>
      <w:r w:rsidR="00A14F91">
        <w:rPr>
          <w:rFonts w:ascii="Calibri" w:hAnsi="Calibri" w:cs="Calibri"/>
          <w:sz w:val="24"/>
          <w:szCs w:val="24"/>
        </w:rPr>
        <w:t>s</w:t>
      </w:r>
      <w:r w:rsidR="00A14F91" w:rsidRPr="00485243">
        <w:rPr>
          <w:rFonts w:ascii="Calibri" w:hAnsi="Calibri" w:cs="Calibri"/>
          <w:sz w:val="24"/>
          <w:szCs w:val="24"/>
        </w:rPr>
        <w:t xml:space="preserve">tatement </w:t>
      </w:r>
      <w:r w:rsidRPr="00485243">
        <w:rPr>
          <w:rFonts w:ascii="Calibri" w:hAnsi="Calibri" w:cs="Calibri"/>
          <w:sz w:val="24"/>
          <w:szCs w:val="24"/>
        </w:rPr>
        <w:t xml:space="preserve">of </w:t>
      </w:r>
      <w:r w:rsidR="00A14F91">
        <w:rPr>
          <w:rFonts w:ascii="Calibri" w:hAnsi="Calibri" w:cs="Calibri"/>
          <w:sz w:val="24"/>
          <w:szCs w:val="24"/>
        </w:rPr>
        <w:t>i</w:t>
      </w:r>
      <w:r w:rsidR="00A14F91" w:rsidRPr="00485243">
        <w:rPr>
          <w:rFonts w:ascii="Calibri" w:hAnsi="Calibri" w:cs="Calibri"/>
          <w:sz w:val="24"/>
          <w:szCs w:val="24"/>
        </w:rPr>
        <w:t xml:space="preserve">ntent </w:t>
      </w:r>
      <w:r w:rsidRPr="00485243">
        <w:rPr>
          <w:rFonts w:ascii="Calibri" w:hAnsi="Calibri" w:cs="Calibri"/>
          <w:sz w:val="24"/>
          <w:szCs w:val="24"/>
        </w:rPr>
        <w:t xml:space="preserve">sets out the intentions of the Chief Executive Officer in relation to </w:t>
      </w:r>
      <w:r>
        <w:rPr>
          <w:rFonts w:ascii="Calibri" w:hAnsi="Calibri" w:cs="Calibri"/>
          <w:sz w:val="24"/>
          <w:szCs w:val="24"/>
        </w:rPr>
        <w:br/>
      </w:r>
      <w:r w:rsidRPr="00485243">
        <w:rPr>
          <w:rFonts w:ascii="Calibri" w:hAnsi="Calibri" w:cs="Calibri"/>
          <w:sz w:val="24"/>
          <w:szCs w:val="24"/>
        </w:rPr>
        <w:t xml:space="preserve">how Services Australia (the </w:t>
      </w:r>
      <w:r w:rsidR="00A14F91">
        <w:rPr>
          <w:rFonts w:ascii="Calibri" w:hAnsi="Calibri" w:cs="Calibri"/>
          <w:sz w:val="24"/>
          <w:szCs w:val="24"/>
        </w:rPr>
        <w:t>a</w:t>
      </w:r>
      <w:r w:rsidR="00A14F91" w:rsidRPr="00485243">
        <w:rPr>
          <w:rFonts w:ascii="Calibri" w:hAnsi="Calibri" w:cs="Calibri"/>
          <w:sz w:val="24"/>
          <w:szCs w:val="24"/>
        </w:rPr>
        <w:t>gency</w:t>
      </w:r>
      <w:r w:rsidRPr="00485243">
        <w:rPr>
          <w:rFonts w:ascii="Calibri" w:hAnsi="Calibri" w:cs="Calibri"/>
          <w:sz w:val="24"/>
          <w:szCs w:val="24"/>
        </w:rPr>
        <w:t xml:space="preserve">) will comply with the Minister for Government Services’ </w:t>
      </w:r>
      <w:r w:rsidR="00A14F91">
        <w:rPr>
          <w:rFonts w:ascii="Calibri" w:hAnsi="Calibri" w:cs="Calibri"/>
          <w:sz w:val="24"/>
          <w:szCs w:val="24"/>
        </w:rPr>
        <w:t>s</w:t>
      </w:r>
      <w:r w:rsidR="00A14F91" w:rsidRPr="00485243">
        <w:rPr>
          <w:rFonts w:ascii="Calibri" w:hAnsi="Calibri" w:cs="Calibri"/>
          <w:sz w:val="24"/>
          <w:szCs w:val="24"/>
        </w:rPr>
        <w:t xml:space="preserve">tatement </w:t>
      </w:r>
      <w:r w:rsidRPr="00485243">
        <w:rPr>
          <w:rFonts w:ascii="Calibri" w:hAnsi="Calibri" w:cs="Calibri"/>
          <w:sz w:val="24"/>
          <w:szCs w:val="24"/>
        </w:rPr>
        <w:t xml:space="preserve">of </w:t>
      </w:r>
      <w:r w:rsidR="00A14F91">
        <w:rPr>
          <w:rFonts w:ascii="Calibri" w:hAnsi="Calibri" w:cs="Calibri"/>
          <w:sz w:val="24"/>
          <w:szCs w:val="24"/>
        </w:rPr>
        <w:t>e</w:t>
      </w:r>
      <w:r w:rsidR="00A14F91" w:rsidRPr="00485243">
        <w:rPr>
          <w:rFonts w:ascii="Calibri" w:hAnsi="Calibri" w:cs="Calibri"/>
          <w:sz w:val="24"/>
          <w:szCs w:val="24"/>
        </w:rPr>
        <w:t>xpectation</w:t>
      </w:r>
      <w:r w:rsidR="000835AA">
        <w:rPr>
          <w:rFonts w:ascii="Calibri" w:hAnsi="Calibri" w:cs="Calibri"/>
          <w:sz w:val="24"/>
          <w:szCs w:val="24"/>
        </w:rPr>
        <w:t>s</w:t>
      </w:r>
      <w:r w:rsidR="00A14F91" w:rsidRPr="00485243">
        <w:rPr>
          <w:rFonts w:ascii="Calibri" w:hAnsi="Calibri" w:cs="Calibri"/>
          <w:sz w:val="24"/>
          <w:szCs w:val="24"/>
        </w:rPr>
        <w:t xml:space="preserve"> </w:t>
      </w:r>
      <w:r w:rsidRPr="00485243">
        <w:rPr>
          <w:rFonts w:ascii="Calibri" w:hAnsi="Calibri" w:cs="Calibri"/>
          <w:sz w:val="24"/>
          <w:szCs w:val="24"/>
        </w:rPr>
        <w:t xml:space="preserve">in terms of the </w:t>
      </w:r>
      <w:r w:rsidR="000835AA">
        <w:rPr>
          <w:rFonts w:ascii="Calibri" w:hAnsi="Calibri" w:cs="Calibri"/>
          <w:sz w:val="24"/>
          <w:szCs w:val="24"/>
        </w:rPr>
        <w:t>a</w:t>
      </w:r>
      <w:r w:rsidR="000835AA" w:rsidRPr="00485243">
        <w:rPr>
          <w:rFonts w:ascii="Calibri" w:hAnsi="Calibri" w:cs="Calibri"/>
          <w:sz w:val="24"/>
          <w:szCs w:val="24"/>
        </w:rPr>
        <w:t xml:space="preserve">gency’s </w:t>
      </w:r>
      <w:r w:rsidRPr="00485243">
        <w:rPr>
          <w:rFonts w:ascii="Calibri" w:hAnsi="Calibri" w:cs="Calibri"/>
          <w:sz w:val="24"/>
          <w:szCs w:val="24"/>
        </w:rPr>
        <w:t>regulatory functions under the Department of Finance Regulatory Policy, Practice and Performance Framework and the Regulatory Performance (RMG128) guide.</w:t>
      </w:r>
    </w:p>
    <w:p w14:paraId="71C3AE90" w14:textId="77777777" w:rsidR="00387982" w:rsidRPr="00485243" w:rsidRDefault="00387982" w:rsidP="00387982">
      <w:pPr>
        <w:pStyle w:val="Heading2"/>
      </w:pPr>
      <w:r w:rsidRPr="00485243">
        <w:t>Overview</w:t>
      </w:r>
    </w:p>
    <w:p w14:paraId="7DC0227E" w14:textId="5299A7D1" w:rsidR="000835AA" w:rsidRDefault="000835AA" w:rsidP="00387982">
      <w:pPr>
        <w:spacing w:after="120" w:line="240" w:lineRule="auto"/>
        <w:rPr>
          <w:rFonts w:ascii="Calibri" w:hAnsi="Calibri" w:cs="Calibri"/>
          <w:sz w:val="24"/>
          <w:szCs w:val="24"/>
        </w:rPr>
      </w:pPr>
      <w:r>
        <w:rPr>
          <w:rFonts w:ascii="Calibri" w:hAnsi="Calibri" w:cs="Calibri"/>
          <w:sz w:val="24"/>
          <w:szCs w:val="24"/>
        </w:rPr>
        <w:t>T</w:t>
      </w:r>
      <w:r w:rsidR="00387982">
        <w:rPr>
          <w:rFonts w:ascii="Calibri" w:hAnsi="Calibri" w:cs="Calibri"/>
          <w:sz w:val="24"/>
          <w:szCs w:val="24"/>
        </w:rPr>
        <w:t xml:space="preserve">he </w:t>
      </w:r>
      <w:r>
        <w:rPr>
          <w:rFonts w:ascii="Calibri" w:hAnsi="Calibri" w:cs="Calibri"/>
          <w:sz w:val="24"/>
          <w:szCs w:val="24"/>
        </w:rPr>
        <w:t>agency</w:t>
      </w:r>
      <w:r w:rsidR="00387982">
        <w:rPr>
          <w:rFonts w:ascii="Calibri" w:hAnsi="Calibri" w:cs="Calibri"/>
          <w:sz w:val="24"/>
          <w:szCs w:val="24"/>
        </w:rPr>
        <w:t xml:space="preserve"> </w:t>
      </w:r>
      <w:r w:rsidR="00387982" w:rsidRPr="00485243">
        <w:rPr>
          <w:rFonts w:ascii="Calibri" w:hAnsi="Calibri" w:cs="Calibri"/>
          <w:sz w:val="24"/>
          <w:szCs w:val="24"/>
        </w:rPr>
        <w:t xml:space="preserve">supports Australians by efficiently delivering high-quality, accessible services and payments on behalf of </w:t>
      </w:r>
      <w:r>
        <w:rPr>
          <w:rFonts w:ascii="Calibri" w:hAnsi="Calibri" w:cs="Calibri"/>
          <w:sz w:val="24"/>
          <w:szCs w:val="24"/>
        </w:rPr>
        <w:t>the g</w:t>
      </w:r>
      <w:r w:rsidRPr="00485243">
        <w:rPr>
          <w:rFonts w:ascii="Calibri" w:hAnsi="Calibri" w:cs="Calibri"/>
          <w:sz w:val="24"/>
          <w:szCs w:val="24"/>
        </w:rPr>
        <w:t>overnment</w:t>
      </w:r>
      <w:r w:rsidR="00387982" w:rsidRPr="00485243">
        <w:rPr>
          <w:rFonts w:ascii="Calibri" w:hAnsi="Calibri" w:cs="Calibri"/>
          <w:sz w:val="24"/>
          <w:szCs w:val="24"/>
        </w:rPr>
        <w:t xml:space="preserve">, including other Commonwealth departments and agencies. While </w:t>
      </w:r>
      <w:r w:rsidR="00387982">
        <w:rPr>
          <w:rFonts w:ascii="Calibri" w:hAnsi="Calibri" w:cs="Calibri"/>
          <w:sz w:val="24"/>
          <w:szCs w:val="24"/>
        </w:rPr>
        <w:t xml:space="preserve">the </w:t>
      </w:r>
      <w:r>
        <w:rPr>
          <w:rFonts w:ascii="Calibri" w:hAnsi="Calibri" w:cs="Calibri"/>
          <w:sz w:val="24"/>
          <w:szCs w:val="24"/>
        </w:rPr>
        <w:t xml:space="preserve">agency </w:t>
      </w:r>
      <w:r w:rsidR="00387982" w:rsidRPr="00485243">
        <w:rPr>
          <w:rFonts w:ascii="Calibri" w:hAnsi="Calibri" w:cs="Calibri"/>
          <w:sz w:val="24"/>
          <w:szCs w:val="24"/>
        </w:rPr>
        <w:t>does not administer legislation, it does perform regulatory functions under legislation administered by other departments and agencies, as well as other</w:t>
      </w:r>
      <w:r>
        <w:rPr>
          <w:rFonts w:ascii="Calibri" w:hAnsi="Calibri" w:cs="Calibri"/>
          <w:sz w:val="24"/>
          <w:szCs w:val="24"/>
        </w:rPr>
        <w:t xml:space="preserve"> </w:t>
      </w:r>
      <w:r w:rsidR="00387982" w:rsidRPr="00485243">
        <w:rPr>
          <w:rFonts w:ascii="Calibri" w:hAnsi="Calibri" w:cs="Calibri"/>
          <w:sz w:val="24"/>
          <w:szCs w:val="24"/>
        </w:rPr>
        <w:t xml:space="preserve">Commonwealth legislation such as the </w:t>
      </w:r>
      <w:r w:rsidR="00387982" w:rsidRPr="00485243">
        <w:rPr>
          <w:rFonts w:ascii="Calibri" w:hAnsi="Calibri" w:cs="Calibri"/>
          <w:i/>
          <w:iCs/>
          <w:sz w:val="24"/>
          <w:szCs w:val="24"/>
        </w:rPr>
        <w:t>Public Governance, Performance and Accountability Act 2013</w:t>
      </w:r>
      <w:r w:rsidR="00387982" w:rsidRPr="00485243">
        <w:rPr>
          <w:rFonts w:ascii="Calibri" w:hAnsi="Calibri" w:cs="Calibri"/>
          <w:sz w:val="24"/>
          <w:szCs w:val="24"/>
        </w:rPr>
        <w:t xml:space="preserve"> (PGPA Act), Public Governance, Performance and Accountability Rule 2014 (PGPA Rule) and the Commonwealth Fraud Control Framework. </w:t>
      </w:r>
    </w:p>
    <w:p w14:paraId="7B0CB4DB" w14:textId="6EA6366E"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 xml:space="preserve">For example, the </w:t>
      </w:r>
      <w:r w:rsidR="000835AA">
        <w:rPr>
          <w:rFonts w:ascii="Calibri" w:hAnsi="Calibri" w:cs="Calibri"/>
          <w:sz w:val="24"/>
          <w:szCs w:val="24"/>
        </w:rPr>
        <w:t>a</w:t>
      </w:r>
      <w:r w:rsidR="000835AA" w:rsidRPr="00485243">
        <w:rPr>
          <w:rFonts w:ascii="Calibri" w:hAnsi="Calibri" w:cs="Calibri"/>
          <w:sz w:val="24"/>
          <w:szCs w:val="24"/>
        </w:rPr>
        <w:t xml:space="preserve">gency’s </w:t>
      </w:r>
      <w:r w:rsidRPr="00485243">
        <w:rPr>
          <w:rFonts w:ascii="Calibri" w:hAnsi="Calibri" w:cs="Calibri"/>
          <w:sz w:val="24"/>
          <w:szCs w:val="24"/>
        </w:rPr>
        <w:t>regulatory functions include:</w:t>
      </w:r>
    </w:p>
    <w:p w14:paraId="31834127" w14:textId="77777777" w:rsidR="00387982" w:rsidRPr="00485243" w:rsidRDefault="00387982" w:rsidP="00387982">
      <w:pPr>
        <w:pStyle w:val="ListBullet"/>
        <w:numPr>
          <w:ilvl w:val="0"/>
          <w:numId w:val="23"/>
        </w:numPr>
        <w:spacing w:before="60" w:after="60" w:line="240" w:lineRule="auto"/>
        <w:ind w:left="714" w:hanging="357"/>
        <w:rPr>
          <w:rFonts w:ascii="Calibri" w:hAnsi="Calibri"/>
          <w:sz w:val="24"/>
          <w:szCs w:val="24"/>
        </w:rPr>
      </w:pPr>
      <w:r w:rsidRPr="00485243">
        <w:rPr>
          <w:rFonts w:ascii="Calibri" w:hAnsi="Calibri"/>
          <w:sz w:val="24"/>
          <w:szCs w:val="24"/>
        </w:rPr>
        <w:t xml:space="preserve">powers to recover debts relating to Social Security and Welfare payments under the </w:t>
      </w:r>
      <w:r w:rsidRPr="00485243">
        <w:rPr>
          <w:rFonts w:ascii="Calibri" w:hAnsi="Calibri"/>
          <w:sz w:val="24"/>
          <w:szCs w:val="24"/>
        </w:rPr>
        <w:br/>
      </w:r>
      <w:r w:rsidRPr="00485243">
        <w:rPr>
          <w:rFonts w:ascii="Calibri" w:hAnsi="Calibri"/>
          <w:i/>
          <w:iCs/>
          <w:sz w:val="24"/>
          <w:szCs w:val="24"/>
        </w:rPr>
        <w:t>Social Security Act 1991</w:t>
      </w:r>
    </w:p>
    <w:p w14:paraId="136737EF" w14:textId="77777777" w:rsidR="00387982" w:rsidRPr="00485243" w:rsidRDefault="00387982" w:rsidP="00387982">
      <w:pPr>
        <w:pStyle w:val="ListBullet"/>
        <w:numPr>
          <w:ilvl w:val="0"/>
          <w:numId w:val="23"/>
        </w:numPr>
        <w:spacing w:before="60" w:after="60" w:line="240" w:lineRule="auto"/>
        <w:rPr>
          <w:rFonts w:ascii="Calibri" w:hAnsi="Calibri"/>
          <w:sz w:val="24"/>
          <w:szCs w:val="24"/>
        </w:rPr>
      </w:pPr>
      <w:r w:rsidRPr="00485243">
        <w:rPr>
          <w:rFonts w:ascii="Calibri" w:hAnsi="Calibri"/>
          <w:sz w:val="24"/>
          <w:szCs w:val="24"/>
        </w:rPr>
        <w:t xml:space="preserve">the exercise of investigative powers under Part IID of the </w:t>
      </w:r>
      <w:r w:rsidRPr="00485243">
        <w:rPr>
          <w:rFonts w:ascii="Calibri" w:hAnsi="Calibri"/>
          <w:i/>
          <w:iCs/>
          <w:sz w:val="24"/>
          <w:szCs w:val="24"/>
        </w:rPr>
        <w:t xml:space="preserve">Human Services (Medicare) </w:t>
      </w:r>
      <w:r w:rsidRPr="00485243">
        <w:rPr>
          <w:rFonts w:ascii="Calibri" w:hAnsi="Calibri"/>
          <w:i/>
          <w:iCs/>
          <w:sz w:val="24"/>
          <w:szCs w:val="24"/>
        </w:rPr>
        <w:br/>
        <w:t>Act 1973</w:t>
      </w:r>
    </w:p>
    <w:p w14:paraId="79D9793A" w14:textId="77777777" w:rsidR="00387982" w:rsidRPr="00485243" w:rsidRDefault="00387982" w:rsidP="00387982">
      <w:pPr>
        <w:pStyle w:val="ListBullet"/>
        <w:numPr>
          <w:ilvl w:val="0"/>
          <w:numId w:val="23"/>
        </w:numPr>
        <w:spacing w:before="60" w:after="60" w:line="240" w:lineRule="auto"/>
        <w:rPr>
          <w:rFonts w:ascii="Calibri" w:hAnsi="Calibri"/>
          <w:sz w:val="24"/>
          <w:szCs w:val="24"/>
        </w:rPr>
      </w:pPr>
      <w:r w:rsidRPr="00485243">
        <w:rPr>
          <w:rFonts w:ascii="Calibri" w:hAnsi="Calibri"/>
          <w:sz w:val="24"/>
          <w:szCs w:val="24"/>
        </w:rPr>
        <w:t xml:space="preserve">powers to require the payment and recovery of Child Support debts under Part V of the </w:t>
      </w:r>
      <w:r w:rsidRPr="00485243">
        <w:rPr>
          <w:rFonts w:ascii="Calibri" w:hAnsi="Calibri"/>
          <w:i/>
          <w:iCs/>
          <w:sz w:val="24"/>
          <w:szCs w:val="24"/>
        </w:rPr>
        <w:t>Child Support (Registration and Collection) Act 1988</w:t>
      </w:r>
    </w:p>
    <w:p w14:paraId="270CA91F" w14:textId="77777777" w:rsidR="00387982" w:rsidRPr="00485243" w:rsidRDefault="00387982" w:rsidP="00387982">
      <w:pPr>
        <w:pStyle w:val="ListBullet"/>
        <w:numPr>
          <w:ilvl w:val="0"/>
          <w:numId w:val="23"/>
        </w:numPr>
        <w:spacing w:before="60" w:after="60" w:line="240" w:lineRule="auto"/>
        <w:rPr>
          <w:rFonts w:ascii="Calibri" w:hAnsi="Calibri"/>
          <w:sz w:val="24"/>
          <w:szCs w:val="24"/>
        </w:rPr>
      </w:pPr>
      <w:r w:rsidRPr="00485243">
        <w:rPr>
          <w:rFonts w:ascii="Calibri" w:hAnsi="Calibri"/>
          <w:sz w:val="24"/>
          <w:szCs w:val="24"/>
        </w:rPr>
        <w:t>the management of fraud and corruption in accordance with the PGPA Rule and the Commonwealth Fraud Control Framework across all payments made</w:t>
      </w:r>
    </w:p>
    <w:p w14:paraId="2BC0D843" w14:textId="77777777" w:rsidR="00387982" w:rsidRPr="00485243" w:rsidRDefault="00387982" w:rsidP="00387982">
      <w:pPr>
        <w:pStyle w:val="ListBullet"/>
        <w:numPr>
          <w:ilvl w:val="0"/>
          <w:numId w:val="23"/>
        </w:numPr>
        <w:spacing w:before="60" w:line="240" w:lineRule="auto"/>
        <w:ind w:left="714" w:hanging="357"/>
        <w:rPr>
          <w:rFonts w:ascii="Calibri" w:hAnsi="Calibri"/>
          <w:sz w:val="24"/>
          <w:szCs w:val="24"/>
        </w:rPr>
      </w:pPr>
      <w:r w:rsidRPr="00485243">
        <w:rPr>
          <w:rFonts w:ascii="Calibri" w:hAnsi="Calibri"/>
          <w:sz w:val="24"/>
          <w:szCs w:val="24"/>
        </w:rPr>
        <w:t>monitoring and reporting non-compliance under the Australian Government Digital Identity System accreditation scheme.</w:t>
      </w:r>
    </w:p>
    <w:p w14:paraId="20355F8E" w14:textId="33C3A3B3" w:rsidR="00387982" w:rsidRPr="00485243" w:rsidRDefault="00387982" w:rsidP="00387982">
      <w:pPr>
        <w:spacing w:line="240" w:lineRule="auto"/>
        <w:rPr>
          <w:rFonts w:ascii="Calibri" w:hAnsi="Calibri" w:cs="Calibri"/>
          <w:sz w:val="24"/>
          <w:szCs w:val="24"/>
        </w:rPr>
      </w:pPr>
      <w:r>
        <w:rPr>
          <w:rFonts w:ascii="Calibri" w:hAnsi="Calibri" w:cs="Calibri"/>
          <w:sz w:val="24"/>
          <w:szCs w:val="24"/>
        </w:rPr>
        <w:t xml:space="preserve">The </w:t>
      </w:r>
      <w:r w:rsidR="000835AA">
        <w:rPr>
          <w:rFonts w:ascii="Calibri" w:hAnsi="Calibri" w:cs="Calibri"/>
          <w:sz w:val="24"/>
          <w:szCs w:val="24"/>
        </w:rPr>
        <w:t>agency</w:t>
      </w:r>
      <w:r w:rsidR="000835AA" w:rsidRPr="00485243">
        <w:rPr>
          <w:rFonts w:ascii="Calibri" w:hAnsi="Calibri" w:cs="Calibri"/>
          <w:sz w:val="24"/>
          <w:szCs w:val="24"/>
        </w:rPr>
        <w:t xml:space="preserve"> </w:t>
      </w:r>
      <w:r w:rsidRPr="00485243">
        <w:rPr>
          <w:rFonts w:ascii="Calibri" w:hAnsi="Calibri" w:cs="Calibri"/>
          <w:sz w:val="24"/>
          <w:szCs w:val="24"/>
        </w:rPr>
        <w:t>also provides advice to other departments and agencies on the regulatory impact of proposals that relate to the services it delivers.</w:t>
      </w:r>
    </w:p>
    <w:p w14:paraId="3A9F7C90" w14:textId="77777777" w:rsidR="00387982" w:rsidRPr="00485243" w:rsidRDefault="00387982" w:rsidP="00387982">
      <w:pPr>
        <w:pStyle w:val="Heading2"/>
      </w:pPr>
      <w:r w:rsidRPr="00485243">
        <w:lastRenderedPageBreak/>
        <w:t>Regulatory stewardship</w:t>
      </w:r>
    </w:p>
    <w:p w14:paraId="137A8013" w14:textId="760BD89E"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 xml:space="preserve">The </w:t>
      </w:r>
      <w:r w:rsidR="000835AA">
        <w:rPr>
          <w:rFonts w:ascii="Calibri" w:hAnsi="Calibri" w:cs="Calibri"/>
          <w:sz w:val="24"/>
          <w:szCs w:val="24"/>
        </w:rPr>
        <w:t>a</w:t>
      </w:r>
      <w:r w:rsidR="000835AA" w:rsidRPr="00485243">
        <w:rPr>
          <w:rFonts w:ascii="Calibri" w:hAnsi="Calibri" w:cs="Calibri"/>
          <w:sz w:val="24"/>
          <w:szCs w:val="24"/>
        </w:rPr>
        <w:t xml:space="preserve">gency’s </w:t>
      </w:r>
      <w:r w:rsidR="000835AA">
        <w:rPr>
          <w:rFonts w:ascii="Calibri" w:hAnsi="Calibri" w:cs="Calibri"/>
          <w:sz w:val="24"/>
          <w:szCs w:val="24"/>
        </w:rPr>
        <w:t>s</w:t>
      </w:r>
      <w:r w:rsidR="000835AA" w:rsidRPr="00485243">
        <w:rPr>
          <w:rFonts w:ascii="Calibri" w:hAnsi="Calibri" w:cs="Calibri"/>
          <w:sz w:val="24"/>
          <w:szCs w:val="24"/>
        </w:rPr>
        <w:t xml:space="preserve">enior </w:t>
      </w:r>
      <w:r w:rsidR="000835AA">
        <w:rPr>
          <w:rFonts w:ascii="Calibri" w:hAnsi="Calibri" w:cs="Calibri"/>
          <w:sz w:val="24"/>
          <w:szCs w:val="24"/>
        </w:rPr>
        <w:t>e</w:t>
      </w:r>
      <w:r w:rsidR="000835AA" w:rsidRPr="00485243">
        <w:rPr>
          <w:rFonts w:ascii="Calibri" w:hAnsi="Calibri" w:cs="Calibri"/>
          <w:sz w:val="24"/>
          <w:szCs w:val="24"/>
        </w:rPr>
        <w:t>xecutive</w:t>
      </w:r>
      <w:r w:rsidR="000835AA">
        <w:rPr>
          <w:rFonts w:ascii="Calibri" w:hAnsi="Calibri" w:cs="Calibri"/>
          <w:sz w:val="24"/>
          <w:szCs w:val="24"/>
        </w:rPr>
        <w:t xml:space="preserve"> staff</w:t>
      </w:r>
      <w:r w:rsidR="000835AA" w:rsidRPr="00485243">
        <w:rPr>
          <w:rFonts w:ascii="Calibri" w:hAnsi="Calibri" w:cs="Calibri"/>
          <w:sz w:val="24"/>
          <w:szCs w:val="24"/>
        </w:rPr>
        <w:t xml:space="preserve"> </w:t>
      </w:r>
      <w:r w:rsidRPr="00485243">
        <w:rPr>
          <w:rFonts w:ascii="Calibri" w:hAnsi="Calibri" w:cs="Calibri"/>
          <w:sz w:val="24"/>
          <w:szCs w:val="24"/>
        </w:rPr>
        <w:t xml:space="preserve">will adopt a stewardship approach to regulatory functions. Stewardship covers the range of functions the </w:t>
      </w:r>
      <w:r w:rsidR="000835AA">
        <w:rPr>
          <w:rFonts w:ascii="Calibri" w:hAnsi="Calibri" w:cs="Calibri"/>
          <w:sz w:val="24"/>
          <w:szCs w:val="24"/>
        </w:rPr>
        <w:t>a</w:t>
      </w:r>
      <w:r w:rsidR="000835AA" w:rsidRPr="00485243">
        <w:rPr>
          <w:rFonts w:ascii="Calibri" w:hAnsi="Calibri" w:cs="Calibri"/>
          <w:sz w:val="24"/>
          <w:szCs w:val="24"/>
        </w:rPr>
        <w:t xml:space="preserve">gency </w:t>
      </w:r>
      <w:r w:rsidRPr="00485243">
        <w:rPr>
          <w:rFonts w:ascii="Calibri" w:hAnsi="Calibri" w:cs="Calibri"/>
          <w:sz w:val="24"/>
          <w:szCs w:val="24"/>
        </w:rPr>
        <w:t xml:space="preserve">undertakes to help ensure regulation </w:t>
      </w:r>
      <w:r>
        <w:rPr>
          <w:rFonts w:ascii="Calibri" w:hAnsi="Calibri" w:cs="Calibri"/>
          <w:sz w:val="24"/>
          <w:szCs w:val="24"/>
        </w:rPr>
        <w:br/>
      </w:r>
      <w:r w:rsidRPr="00485243">
        <w:rPr>
          <w:rFonts w:ascii="Calibri" w:hAnsi="Calibri" w:cs="Calibri"/>
          <w:sz w:val="24"/>
          <w:szCs w:val="24"/>
        </w:rPr>
        <w:t>is effective, fit for purpose and does not impose unnecessary burdens. Effective regulatory stewardship requires a whole-of-system view of regulation and a proactive</w:t>
      </w:r>
      <w:r w:rsidR="000835AA">
        <w:rPr>
          <w:rFonts w:ascii="Calibri" w:hAnsi="Calibri" w:cs="Calibri"/>
          <w:sz w:val="24"/>
          <w:szCs w:val="24"/>
        </w:rPr>
        <w:t xml:space="preserve"> and</w:t>
      </w:r>
      <w:r w:rsidRPr="00485243">
        <w:rPr>
          <w:rFonts w:ascii="Calibri" w:hAnsi="Calibri" w:cs="Calibri"/>
          <w:sz w:val="24"/>
          <w:szCs w:val="24"/>
        </w:rPr>
        <w:t xml:space="preserve"> collaborative approach to the regulatory functions the </w:t>
      </w:r>
      <w:r w:rsidR="000835AA">
        <w:rPr>
          <w:rFonts w:ascii="Calibri" w:hAnsi="Calibri" w:cs="Calibri"/>
          <w:sz w:val="24"/>
          <w:szCs w:val="24"/>
        </w:rPr>
        <w:t>a</w:t>
      </w:r>
      <w:r w:rsidR="000835AA" w:rsidRPr="00485243">
        <w:rPr>
          <w:rFonts w:ascii="Calibri" w:hAnsi="Calibri" w:cs="Calibri"/>
          <w:sz w:val="24"/>
          <w:szCs w:val="24"/>
        </w:rPr>
        <w:t xml:space="preserve">gency </w:t>
      </w:r>
      <w:r w:rsidRPr="00485243">
        <w:rPr>
          <w:rFonts w:ascii="Calibri" w:hAnsi="Calibri" w:cs="Calibri"/>
          <w:sz w:val="24"/>
          <w:szCs w:val="24"/>
        </w:rPr>
        <w:t>performs.</w:t>
      </w:r>
    </w:p>
    <w:p w14:paraId="5D90119F" w14:textId="6010D08B"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 xml:space="preserve">A number of external reviews, including the Royal Commission into the </w:t>
      </w:r>
      <w:proofErr w:type="spellStart"/>
      <w:r w:rsidRPr="00485243">
        <w:rPr>
          <w:rFonts w:ascii="Calibri" w:hAnsi="Calibri" w:cs="Calibri"/>
          <w:sz w:val="24"/>
          <w:szCs w:val="24"/>
        </w:rPr>
        <w:t>Robodebt</w:t>
      </w:r>
      <w:proofErr w:type="spellEnd"/>
      <w:r w:rsidRPr="00485243">
        <w:rPr>
          <w:rFonts w:ascii="Calibri" w:hAnsi="Calibri" w:cs="Calibri"/>
          <w:sz w:val="24"/>
          <w:szCs w:val="24"/>
        </w:rPr>
        <w:t xml:space="preserve"> Scheme and the </w:t>
      </w:r>
      <w:proofErr w:type="spellStart"/>
      <w:r w:rsidRPr="00485243">
        <w:rPr>
          <w:rFonts w:ascii="Calibri" w:hAnsi="Calibri" w:cs="Calibri"/>
          <w:sz w:val="24"/>
          <w:szCs w:val="24"/>
        </w:rPr>
        <w:t>myGov</w:t>
      </w:r>
      <w:proofErr w:type="spellEnd"/>
      <w:r w:rsidRPr="00485243">
        <w:rPr>
          <w:rFonts w:ascii="Calibri" w:hAnsi="Calibri" w:cs="Calibri"/>
          <w:sz w:val="24"/>
          <w:szCs w:val="24"/>
        </w:rPr>
        <w:t xml:space="preserve"> </w:t>
      </w:r>
      <w:r w:rsidR="000835AA">
        <w:rPr>
          <w:rFonts w:ascii="Calibri" w:hAnsi="Calibri" w:cs="Calibri"/>
          <w:sz w:val="24"/>
          <w:szCs w:val="24"/>
        </w:rPr>
        <w:t>u</w:t>
      </w:r>
      <w:r w:rsidR="000835AA" w:rsidRPr="00485243">
        <w:rPr>
          <w:rFonts w:ascii="Calibri" w:hAnsi="Calibri" w:cs="Calibri"/>
          <w:sz w:val="24"/>
          <w:szCs w:val="24"/>
        </w:rPr>
        <w:t xml:space="preserve">ser </w:t>
      </w:r>
      <w:r w:rsidR="000835AA">
        <w:rPr>
          <w:rFonts w:ascii="Calibri" w:hAnsi="Calibri" w:cs="Calibri"/>
          <w:sz w:val="24"/>
          <w:szCs w:val="24"/>
        </w:rPr>
        <w:t>a</w:t>
      </w:r>
      <w:r w:rsidR="000835AA" w:rsidRPr="00485243">
        <w:rPr>
          <w:rFonts w:ascii="Calibri" w:hAnsi="Calibri" w:cs="Calibri"/>
          <w:sz w:val="24"/>
          <w:szCs w:val="24"/>
        </w:rPr>
        <w:t>udit</w:t>
      </w:r>
      <w:r w:rsidRPr="00485243">
        <w:rPr>
          <w:rFonts w:ascii="Calibri" w:hAnsi="Calibri" w:cs="Calibri"/>
          <w:sz w:val="24"/>
          <w:szCs w:val="24"/>
        </w:rPr>
        <w:t xml:space="preserve">, have identified areas of focus in relation to the </w:t>
      </w:r>
      <w:r w:rsidR="000835AA">
        <w:rPr>
          <w:rFonts w:ascii="Calibri" w:hAnsi="Calibri" w:cs="Calibri"/>
          <w:sz w:val="24"/>
          <w:szCs w:val="24"/>
        </w:rPr>
        <w:t>a</w:t>
      </w:r>
      <w:r w:rsidR="000835AA" w:rsidRPr="00485243">
        <w:rPr>
          <w:rFonts w:ascii="Calibri" w:hAnsi="Calibri" w:cs="Calibri"/>
          <w:sz w:val="24"/>
          <w:szCs w:val="24"/>
        </w:rPr>
        <w:t xml:space="preserve">gency’s </w:t>
      </w:r>
      <w:r w:rsidRPr="00485243">
        <w:rPr>
          <w:rFonts w:ascii="Calibri" w:hAnsi="Calibri" w:cs="Calibri"/>
          <w:sz w:val="24"/>
          <w:szCs w:val="24"/>
        </w:rPr>
        <w:t xml:space="preserve">regulatory functions. The </w:t>
      </w:r>
      <w:r w:rsidR="000835AA">
        <w:rPr>
          <w:rFonts w:ascii="Calibri" w:hAnsi="Calibri" w:cs="Calibri"/>
          <w:sz w:val="24"/>
          <w:szCs w:val="24"/>
        </w:rPr>
        <w:t>a</w:t>
      </w:r>
      <w:r w:rsidR="000835AA" w:rsidRPr="00485243">
        <w:rPr>
          <w:rFonts w:ascii="Calibri" w:hAnsi="Calibri" w:cs="Calibri"/>
          <w:sz w:val="24"/>
          <w:szCs w:val="24"/>
        </w:rPr>
        <w:t xml:space="preserve">gency </w:t>
      </w:r>
      <w:r w:rsidRPr="00485243">
        <w:rPr>
          <w:rFonts w:ascii="Calibri" w:hAnsi="Calibri" w:cs="Calibri"/>
          <w:sz w:val="24"/>
          <w:szCs w:val="24"/>
        </w:rPr>
        <w:t>is implementing recommendations and addressing findings from these reviews</w:t>
      </w:r>
      <w:r w:rsidR="000835AA">
        <w:rPr>
          <w:rFonts w:ascii="Calibri" w:hAnsi="Calibri" w:cs="Calibri"/>
          <w:sz w:val="24"/>
          <w:szCs w:val="24"/>
        </w:rPr>
        <w:t>.</w:t>
      </w:r>
      <w:r w:rsidRPr="00485243">
        <w:rPr>
          <w:rFonts w:ascii="Calibri" w:hAnsi="Calibri" w:cs="Calibri"/>
          <w:sz w:val="24"/>
          <w:szCs w:val="24"/>
        </w:rPr>
        <w:t xml:space="preserve"> </w:t>
      </w:r>
      <w:r w:rsidR="000835AA">
        <w:rPr>
          <w:rFonts w:ascii="Calibri" w:hAnsi="Calibri" w:cs="Calibri"/>
          <w:sz w:val="24"/>
          <w:szCs w:val="24"/>
        </w:rPr>
        <w:t>T</w:t>
      </w:r>
      <w:r w:rsidRPr="00485243">
        <w:rPr>
          <w:rFonts w:ascii="Calibri" w:hAnsi="Calibri" w:cs="Calibri"/>
          <w:sz w:val="24"/>
          <w:szCs w:val="24"/>
        </w:rPr>
        <w:t xml:space="preserve">he insights from these reviews will continue to inform the </w:t>
      </w:r>
      <w:r w:rsidR="000835AA">
        <w:rPr>
          <w:rFonts w:ascii="Calibri" w:hAnsi="Calibri" w:cs="Calibri"/>
          <w:sz w:val="24"/>
          <w:szCs w:val="24"/>
        </w:rPr>
        <w:t>a</w:t>
      </w:r>
      <w:r w:rsidRPr="00485243">
        <w:rPr>
          <w:rFonts w:ascii="Calibri" w:hAnsi="Calibri" w:cs="Calibri"/>
          <w:sz w:val="24"/>
          <w:szCs w:val="24"/>
        </w:rPr>
        <w:t xml:space="preserve">gency’s strategic approach to its regulatory role </w:t>
      </w:r>
      <w:r w:rsidR="000835AA">
        <w:rPr>
          <w:rFonts w:ascii="Calibri" w:hAnsi="Calibri" w:cs="Calibri"/>
          <w:sz w:val="24"/>
          <w:szCs w:val="24"/>
        </w:rPr>
        <w:t>from</w:t>
      </w:r>
      <w:r w:rsidR="000835AA" w:rsidRPr="00485243">
        <w:rPr>
          <w:rFonts w:ascii="Calibri" w:hAnsi="Calibri" w:cs="Calibri"/>
          <w:sz w:val="24"/>
          <w:szCs w:val="24"/>
        </w:rPr>
        <w:t xml:space="preserve"> </w:t>
      </w:r>
      <w:r w:rsidRPr="00485243">
        <w:rPr>
          <w:rFonts w:ascii="Calibri" w:hAnsi="Calibri" w:cs="Calibri"/>
          <w:sz w:val="24"/>
          <w:szCs w:val="24"/>
        </w:rPr>
        <w:t>2024</w:t>
      </w:r>
      <w:r w:rsidR="000835AA">
        <w:rPr>
          <w:rFonts w:ascii="Calibri" w:hAnsi="Calibri" w:cs="Calibri"/>
          <w:sz w:val="24"/>
          <w:szCs w:val="24"/>
        </w:rPr>
        <w:t xml:space="preserve"> to 202</w:t>
      </w:r>
      <w:r w:rsidRPr="00485243">
        <w:rPr>
          <w:rFonts w:ascii="Calibri" w:hAnsi="Calibri" w:cs="Calibri"/>
          <w:sz w:val="24"/>
          <w:szCs w:val="24"/>
        </w:rPr>
        <w:t>5.</w:t>
      </w:r>
    </w:p>
    <w:p w14:paraId="7B00EDDB" w14:textId="001D5EA2"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 xml:space="preserve">The </w:t>
      </w:r>
      <w:r w:rsidR="000835AA">
        <w:rPr>
          <w:rFonts w:ascii="Calibri" w:hAnsi="Calibri" w:cs="Calibri"/>
          <w:sz w:val="24"/>
          <w:szCs w:val="24"/>
        </w:rPr>
        <w:t>a</w:t>
      </w:r>
      <w:r w:rsidR="000835AA" w:rsidRPr="00485243">
        <w:rPr>
          <w:rFonts w:ascii="Calibri" w:hAnsi="Calibri" w:cs="Calibri"/>
          <w:sz w:val="24"/>
          <w:szCs w:val="24"/>
        </w:rPr>
        <w:t xml:space="preserve">gency </w:t>
      </w:r>
      <w:r w:rsidRPr="00485243">
        <w:rPr>
          <w:rFonts w:ascii="Calibri" w:hAnsi="Calibri" w:cs="Calibri"/>
          <w:sz w:val="24"/>
          <w:szCs w:val="24"/>
        </w:rPr>
        <w:t>will:</w:t>
      </w:r>
    </w:p>
    <w:p w14:paraId="6DB1D661" w14:textId="45F66768" w:rsidR="00387982" w:rsidRPr="00485243" w:rsidRDefault="00387982" w:rsidP="00387982">
      <w:pPr>
        <w:pStyle w:val="ListParagraph"/>
        <w:numPr>
          <w:ilvl w:val="0"/>
          <w:numId w:val="24"/>
        </w:numPr>
        <w:spacing w:after="60" w:line="240" w:lineRule="auto"/>
        <w:ind w:left="714" w:hanging="357"/>
        <w:contextualSpacing w:val="0"/>
        <w:rPr>
          <w:rFonts w:ascii="Calibri" w:hAnsi="Calibri" w:cs="Calibri"/>
          <w:sz w:val="24"/>
          <w:szCs w:val="24"/>
        </w:rPr>
      </w:pPr>
      <w:r w:rsidRPr="00485243">
        <w:rPr>
          <w:rFonts w:ascii="Calibri" w:hAnsi="Calibri" w:cs="Calibri"/>
          <w:sz w:val="24"/>
          <w:szCs w:val="24"/>
        </w:rPr>
        <w:t>actively and continually work across government to monitor the legislative and regulatory environment</w:t>
      </w:r>
      <w:r w:rsidR="000835AA">
        <w:rPr>
          <w:rFonts w:ascii="Calibri" w:hAnsi="Calibri" w:cs="Calibri"/>
          <w:sz w:val="24"/>
          <w:szCs w:val="24"/>
        </w:rPr>
        <w:t>,</w:t>
      </w:r>
      <w:r w:rsidRPr="00485243">
        <w:rPr>
          <w:rFonts w:ascii="Calibri" w:hAnsi="Calibri" w:cs="Calibri"/>
          <w:sz w:val="24"/>
          <w:szCs w:val="24"/>
        </w:rPr>
        <w:t xml:space="preserve"> to ensure its regulatory functions keep pace with changes </w:t>
      </w:r>
      <w:r>
        <w:rPr>
          <w:rFonts w:ascii="Calibri" w:hAnsi="Calibri" w:cs="Calibri"/>
          <w:sz w:val="24"/>
          <w:szCs w:val="24"/>
        </w:rPr>
        <w:br/>
      </w:r>
      <w:r w:rsidRPr="00485243">
        <w:rPr>
          <w:rFonts w:ascii="Calibri" w:hAnsi="Calibri" w:cs="Calibri"/>
          <w:sz w:val="24"/>
          <w:szCs w:val="24"/>
        </w:rPr>
        <w:t>in technology, industry practices and community expectations</w:t>
      </w:r>
      <w:r>
        <w:rPr>
          <w:rFonts w:ascii="Calibri" w:hAnsi="Calibri" w:cs="Calibri"/>
          <w:sz w:val="24"/>
          <w:szCs w:val="24"/>
        </w:rPr>
        <w:t>.</w:t>
      </w:r>
    </w:p>
    <w:p w14:paraId="5A7A2FC3" w14:textId="4B9ADCD4" w:rsidR="00387982" w:rsidRPr="00485243" w:rsidRDefault="00387982" w:rsidP="00387982">
      <w:pPr>
        <w:pStyle w:val="ListParagraph"/>
        <w:numPr>
          <w:ilvl w:val="0"/>
          <w:numId w:val="24"/>
        </w:numPr>
        <w:spacing w:after="120" w:line="240" w:lineRule="auto"/>
        <w:ind w:left="714" w:hanging="357"/>
        <w:contextualSpacing w:val="0"/>
        <w:rPr>
          <w:rFonts w:ascii="Calibri" w:hAnsi="Calibri" w:cs="Calibri"/>
          <w:sz w:val="24"/>
          <w:szCs w:val="24"/>
        </w:rPr>
      </w:pPr>
      <w:r w:rsidRPr="00485243">
        <w:rPr>
          <w:rFonts w:ascii="Calibri" w:hAnsi="Calibri" w:cs="Calibri"/>
          <w:sz w:val="24"/>
          <w:szCs w:val="24"/>
        </w:rPr>
        <w:t>regularly review</w:t>
      </w:r>
      <w:r w:rsidR="000835AA">
        <w:rPr>
          <w:rFonts w:ascii="Calibri" w:hAnsi="Calibri" w:cs="Calibri"/>
          <w:sz w:val="24"/>
          <w:szCs w:val="24"/>
        </w:rPr>
        <w:t>,</w:t>
      </w:r>
      <w:r w:rsidRPr="00485243">
        <w:rPr>
          <w:rFonts w:ascii="Calibri" w:hAnsi="Calibri" w:cs="Calibri"/>
          <w:sz w:val="24"/>
          <w:szCs w:val="24"/>
        </w:rPr>
        <w:t xml:space="preserve"> and where necessary</w:t>
      </w:r>
      <w:r w:rsidR="000835AA">
        <w:rPr>
          <w:rFonts w:ascii="Calibri" w:hAnsi="Calibri" w:cs="Calibri"/>
          <w:sz w:val="24"/>
          <w:szCs w:val="24"/>
        </w:rPr>
        <w:t>,</w:t>
      </w:r>
      <w:r w:rsidRPr="00485243">
        <w:rPr>
          <w:rFonts w:ascii="Calibri" w:hAnsi="Calibri" w:cs="Calibri"/>
          <w:sz w:val="24"/>
          <w:szCs w:val="24"/>
        </w:rPr>
        <w:t xml:space="preserve"> adjust the administration of policies, processes and operating procedures</w:t>
      </w:r>
      <w:r w:rsidR="000835AA">
        <w:rPr>
          <w:rFonts w:ascii="Calibri" w:hAnsi="Calibri" w:cs="Calibri"/>
          <w:sz w:val="24"/>
          <w:szCs w:val="24"/>
        </w:rPr>
        <w:t>,</w:t>
      </w:r>
      <w:r w:rsidRPr="00485243">
        <w:rPr>
          <w:rFonts w:ascii="Calibri" w:hAnsi="Calibri" w:cs="Calibri"/>
          <w:sz w:val="24"/>
          <w:szCs w:val="24"/>
        </w:rPr>
        <w:t xml:space="preserve"> to ensure its regulatory functions continue to align the expectations of the Minister, the Australian Government and the Australian public.</w:t>
      </w:r>
    </w:p>
    <w:p w14:paraId="1C8734AB" w14:textId="5C864346"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In 2024</w:t>
      </w:r>
      <w:r w:rsidR="000835AA">
        <w:rPr>
          <w:rFonts w:ascii="Calibri" w:hAnsi="Calibri" w:cs="Calibri"/>
          <w:sz w:val="24"/>
          <w:szCs w:val="24"/>
        </w:rPr>
        <w:t>,</w:t>
      </w:r>
      <w:r w:rsidRPr="00485243">
        <w:rPr>
          <w:rFonts w:ascii="Calibri" w:hAnsi="Calibri" w:cs="Calibri"/>
          <w:sz w:val="24"/>
          <w:szCs w:val="24"/>
        </w:rPr>
        <w:t xml:space="preserve"> the </w:t>
      </w:r>
      <w:r w:rsidR="000835AA">
        <w:rPr>
          <w:rFonts w:ascii="Calibri" w:hAnsi="Calibri" w:cs="Calibri"/>
          <w:sz w:val="24"/>
          <w:szCs w:val="24"/>
        </w:rPr>
        <w:t>a</w:t>
      </w:r>
      <w:r w:rsidRPr="00485243">
        <w:rPr>
          <w:rFonts w:ascii="Calibri" w:hAnsi="Calibri" w:cs="Calibri"/>
          <w:sz w:val="24"/>
          <w:szCs w:val="24"/>
        </w:rPr>
        <w:t xml:space="preserve">gency undertook a review of its strategic performance measures to further strengthen the approach to planning, measuring and reporting on performance. In managing </w:t>
      </w:r>
      <w:r>
        <w:rPr>
          <w:rFonts w:ascii="Calibri" w:hAnsi="Calibri" w:cs="Calibri"/>
          <w:sz w:val="24"/>
          <w:szCs w:val="24"/>
        </w:rPr>
        <w:br/>
      </w:r>
      <w:r w:rsidRPr="00485243">
        <w:rPr>
          <w:rFonts w:ascii="Calibri" w:hAnsi="Calibri" w:cs="Calibri"/>
          <w:sz w:val="24"/>
          <w:szCs w:val="24"/>
        </w:rPr>
        <w:t>its regulatory functions</w:t>
      </w:r>
      <w:r w:rsidR="000835AA">
        <w:rPr>
          <w:rFonts w:ascii="Calibri" w:hAnsi="Calibri" w:cs="Calibri"/>
          <w:sz w:val="24"/>
          <w:szCs w:val="24"/>
        </w:rPr>
        <w:t>,</w:t>
      </w:r>
      <w:r w:rsidRPr="00485243">
        <w:rPr>
          <w:rFonts w:ascii="Calibri" w:hAnsi="Calibri" w:cs="Calibri"/>
          <w:sz w:val="24"/>
          <w:szCs w:val="24"/>
        </w:rPr>
        <w:t xml:space="preserve"> the </w:t>
      </w:r>
      <w:r w:rsidR="000835AA">
        <w:rPr>
          <w:rFonts w:ascii="Calibri" w:hAnsi="Calibri" w:cs="Calibri"/>
          <w:sz w:val="24"/>
          <w:szCs w:val="24"/>
        </w:rPr>
        <w:t>a</w:t>
      </w:r>
      <w:r w:rsidRPr="00485243">
        <w:rPr>
          <w:rFonts w:ascii="Calibri" w:hAnsi="Calibri" w:cs="Calibri"/>
          <w:sz w:val="24"/>
          <w:szCs w:val="24"/>
        </w:rPr>
        <w:t>gency will, where relevant, consider performance against the strategic performance measures (SPM) set out in the Corporate Plan 2024–25:</w:t>
      </w:r>
    </w:p>
    <w:p w14:paraId="09FC3C05" w14:textId="25CFB90C" w:rsidR="00387982" w:rsidRPr="00485243" w:rsidRDefault="00387982" w:rsidP="00387982">
      <w:pPr>
        <w:pStyle w:val="ListParagraph"/>
        <w:numPr>
          <w:ilvl w:val="0"/>
          <w:numId w:val="24"/>
        </w:numPr>
        <w:spacing w:before="60" w:after="60" w:line="240" w:lineRule="auto"/>
        <w:ind w:left="714" w:hanging="357"/>
        <w:contextualSpacing w:val="0"/>
        <w:rPr>
          <w:rFonts w:ascii="Calibri" w:hAnsi="Calibri" w:cs="Calibri"/>
          <w:sz w:val="24"/>
          <w:szCs w:val="24"/>
        </w:rPr>
      </w:pPr>
      <w:r w:rsidRPr="00485243">
        <w:rPr>
          <w:rFonts w:ascii="Calibri" w:hAnsi="Calibri" w:cs="Calibri"/>
          <w:sz w:val="24"/>
          <w:szCs w:val="24"/>
        </w:rPr>
        <w:t xml:space="preserve">SPM 1: </w:t>
      </w:r>
      <w:r w:rsidR="000835AA">
        <w:rPr>
          <w:rFonts w:ascii="Calibri" w:hAnsi="Calibri" w:cs="Calibri"/>
          <w:sz w:val="24"/>
          <w:szCs w:val="24"/>
        </w:rPr>
        <w:t>c</w:t>
      </w:r>
      <w:r w:rsidR="000835AA" w:rsidRPr="00485243">
        <w:rPr>
          <w:rFonts w:ascii="Calibri" w:hAnsi="Calibri" w:cs="Calibri"/>
          <w:sz w:val="24"/>
          <w:szCs w:val="24"/>
        </w:rPr>
        <w:t xml:space="preserve">ustomer </w:t>
      </w:r>
      <w:r w:rsidRPr="00485243">
        <w:rPr>
          <w:rFonts w:ascii="Calibri" w:hAnsi="Calibri" w:cs="Calibri"/>
          <w:sz w:val="24"/>
          <w:szCs w:val="24"/>
        </w:rPr>
        <w:t>satisfaction</w:t>
      </w:r>
    </w:p>
    <w:p w14:paraId="2C9752A0" w14:textId="2CFAD91A" w:rsidR="00387982" w:rsidRPr="00485243" w:rsidRDefault="00387982" w:rsidP="00387982">
      <w:pPr>
        <w:pStyle w:val="ListParagraph"/>
        <w:numPr>
          <w:ilvl w:val="0"/>
          <w:numId w:val="24"/>
        </w:numPr>
        <w:spacing w:before="60" w:after="60" w:line="240" w:lineRule="auto"/>
        <w:ind w:left="714" w:hanging="357"/>
        <w:contextualSpacing w:val="0"/>
        <w:rPr>
          <w:rFonts w:ascii="Calibri" w:hAnsi="Calibri" w:cs="Calibri"/>
          <w:sz w:val="24"/>
          <w:szCs w:val="24"/>
        </w:rPr>
      </w:pPr>
      <w:r w:rsidRPr="00485243">
        <w:rPr>
          <w:rFonts w:ascii="Calibri" w:hAnsi="Calibri" w:cs="Calibri"/>
          <w:sz w:val="24"/>
          <w:szCs w:val="24"/>
        </w:rPr>
        <w:t xml:space="preserve">SPM 2: </w:t>
      </w:r>
      <w:r w:rsidR="000835AA">
        <w:rPr>
          <w:rFonts w:ascii="Calibri" w:hAnsi="Calibri" w:cs="Calibri"/>
          <w:sz w:val="24"/>
          <w:szCs w:val="24"/>
        </w:rPr>
        <w:t>c</w:t>
      </w:r>
      <w:r w:rsidR="000835AA" w:rsidRPr="00485243">
        <w:rPr>
          <w:rFonts w:ascii="Calibri" w:hAnsi="Calibri" w:cs="Calibri"/>
          <w:sz w:val="24"/>
          <w:szCs w:val="24"/>
        </w:rPr>
        <w:t xml:space="preserve">ustomer </w:t>
      </w:r>
      <w:r w:rsidRPr="00485243">
        <w:rPr>
          <w:rFonts w:ascii="Calibri" w:hAnsi="Calibri" w:cs="Calibri"/>
          <w:sz w:val="24"/>
          <w:szCs w:val="24"/>
        </w:rPr>
        <w:t>trust</w:t>
      </w:r>
    </w:p>
    <w:p w14:paraId="4449908D" w14:textId="2E6788D2" w:rsidR="00387982" w:rsidRPr="00485243" w:rsidRDefault="00387982" w:rsidP="00387982">
      <w:pPr>
        <w:pStyle w:val="ListParagraph"/>
        <w:numPr>
          <w:ilvl w:val="0"/>
          <w:numId w:val="24"/>
        </w:numPr>
        <w:spacing w:before="60" w:after="60" w:line="240" w:lineRule="auto"/>
        <w:ind w:left="714" w:hanging="357"/>
        <w:contextualSpacing w:val="0"/>
        <w:rPr>
          <w:rFonts w:ascii="Calibri" w:hAnsi="Calibri" w:cs="Calibri"/>
          <w:sz w:val="24"/>
          <w:szCs w:val="24"/>
        </w:rPr>
      </w:pPr>
      <w:r w:rsidRPr="00485243">
        <w:rPr>
          <w:rFonts w:ascii="Calibri" w:hAnsi="Calibri" w:cs="Calibri"/>
          <w:sz w:val="24"/>
          <w:szCs w:val="24"/>
        </w:rPr>
        <w:t xml:space="preserve">SPM 3: </w:t>
      </w:r>
      <w:r w:rsidR="000835AA">
        <w:rPr>
          <w:rFonts w:ascii="Calibri" w:hAnsi="Calibri" w:cs="Calibri"/>
          <w:sz w:val="24"/>
          <w:szCs w:val="24"/>
        </w:rPr>
        <w:t>a</w:t>
      </w:r>
      <w:r w:rsidR="000835AA" w:rsidRPr="00485243">
        <w:rPr>
          <w:rFonts w:ascii="Calibri" w:hAnsi="Calibri" w:cs="Calibri"/>
          <w:sz w:val="24"/>
          <w:szCs w:val="24"/>
        </w:rPr>
        <w:t xml:space="preserve">dministrative </w:t>
      </w:r>
      <w:r w:rsidRPr="00485243">
        <w:rPr>
          <w:rFonts w:ascii="Calibri" w:hAnsi="Calibri" w:cs="Calibri"/>
          <w:sz w:val="24"/>
          <w:szCs w:val="24"/>
        </w:rPr>
        <w:t>correctness of payments</w:t>
      </w:r>
    </w:p>
    <w:p w14:paraId="553B558D" w14:textId="54F8B9FA" w:rsidR="00387982" w:rsidRPr="00485243" w:rsidRDefault="00387982" w:rsidP="00387982">
      <w:pPr>
        <w:pStyle w:val="ListParagraph"/>
        <w:numPr>
          <w:ilvl w:val="0"/>
          <w:numId w:val="24"/>
        </w:numPr>
        <w:spacing w:before="60" w:after="60" w:line="240" w:lineRule="auto"/>
        <w:ind w:left="714" w:hanging="357"/>
        <w:contextualSpacing w:val="0"/>
        <w:rPr>
          <w:rFonts w:ascii="Calibri" w:hAnsi="Calibri" w:cs="Calibri"/>
          <w:sz w:val="24"/>
          <w:szCs w:val="24"/>
        </w:rPr>
      </w:pPr>
      <w:r w:rsidRPr="00485243">
        <w:rPr>
          <w:rFonts w:ascii="Calibri" w:hAnsi="Calibri" w:cs="Calibri"/>
          <w:sz w:val="24"/>
          <w:szCs w:val="24"/>
        </w:rPr>
        <w:t xml:space="preserve">SPM 4: </w:t>
      </w:r>
      <w:r w:rsidR="000835AA">
        <w:rPr>
          <w:rFonts w:ascii="Calibri" w:hAnsi="Calibri" w:cs="Calibri"/>
          <w:sz w:val="24"/>
          <w:szCs w:val="24"/>
        </w:rPr>
        <w:t>c</w:t>
      </w:r>
      <w:r w:rsidR="000835AA" w:rsidRPr="00485243">
        <w:rPr>
          <w:rFonts w:ascii="Calibri" w:hAnsi="Calibri" w:cs="Calibri"/>
          <w:sz w:val="24"/>
          <w:szCs w:val="24"/>
        </w:rPr>
        <w:t xml:space="preserve">ustomers </w:t>
      </w:r>
      <w:r w:rsidRPr="00485243">
        <w:rPr>
          <w:rFonts w:ascii="Calibri" w:hAnsi="Calibri" w:cs="Calibri"/>
          <w:sz w:val="24"/>
          <w:szCs w:val="24"/>
        </w:rPr>
        <w:t>served within 15 minutes</w:t>
      </w:r>
    </w:p>
    <w:p w14:paraId="604DE461" w14:textId="650395EB" w:rsidR="00387982" w:rsidRPr="00485243" w:rsidRDefault="00387982" w:rsidP="00387982">
      <w:pPr>
        <w:pStyle w:val="ListParagraph"/>
        <w:numPr>
          <w:ilvl w:val="0"/>
          <w:numId w:val="24"/>
        </w:numPr>
        <w:spacing w:before="60" w:after="60" w:line="240" w:lineRule="auto"/>
        <w:ind w:left="714" w:hanging="357"/>
        <w:contextualSpacing w:val="0"/>
        <w:rPr>
          <w:rFonts w:ascii="Calibri" w:hAnsi="Calibri" w:cs="Calibri"/>
          <w:sz w:val="24"/>
          <w:szCs w:val="24"/>
        </w:rPr>
      </w:pPr>
      <w:r w:rsidRPr="00485243">
        <w:rPr>
          <w:rFonts w:ascii="Calibri" w:hAnsi="Calibri" w:cs="Calibri"/>
          <w:sz w:val="24"/>
          <w:szCs w:val="24"/>
        </w:rPr>
        <w:t xml:space="preserve">SPM 5: </w:t>
      </w:r>
      <w:r w:rsidR="000835AA">
        <w:rPr>
          <w:rFonts w:ascii="Calibri" w:hAnsi="Calibri" w:cs="Calibri"/>
          <w:sz w:val="24"/>
          <w:szCs w:val="24"/>
        </w:rPr>
        <w:t>w</w:t>
      </w:r>
      <w:r w:rsidR="000835AA" w:rsidRPr="00485243">
        <w:rPr>
          <w:rFonts w:ascii="Calibri" w:hAnsi="Calibri" w:cs="Calibri"/>
          <w:sz w:val="24"/>
          <w:szCs w:val="24"/>
        </w:rPr>
        <w:t xml:space="preserve">ork </w:t>
      </w:r>
      <w:r w:rsidRPr="00485243">
        <w:rPr>
          <w:rFonts w:ascii="Calibri" w:hAnsi="Calibri" w:cs="Calibri"/>
          <w:sz w:val="24"/>
          <w:szCs w:val="24"/>
        </w:rPr>
        <w:t>processed within timeliness standards</w:t>
      </w:r>
    </w:p>
    <w:p w14:paraId="273F3522" w14:textId="559B3A00" w:rsidR="00387982" w:rsidRPr="00485243" w:rsidRDefault="00387982" w:rsidP="00387982">
      <w:pPr>
        <w:pStyle w:val="ListParagraph"/>
        <w:numPr>
          <w:ilvl w:val="0"/>
          <w:numId w:val="24"/>
        </w:numPr>
        <w:spacing w:before="60" w:after="60" w:line="240" w:lineRule="auto"/>
        <w:ind w:left="714" w:hanging="357"/>
        <w:contextualSpacing w:val="0"/>
        <w:rPr>
          <w:rFonts w:ascii="Calibri" w:hAnsi="Calibri" w:cs="Calibri"/>
          <w:sz w:val="24"/>
          <w:szCs w:val="24"/>
        </w:rPr>
      </w:pPr>
      <w:r w:rsidRPr="00485243">
        <w:rPr>
          <w:rFonts w:ascii="Calibri" w:hAnsi="Calibri" w:cs="Calibri"/>
          <w:sz w:val="24"/>
          <w:szCs w:val="24"/>
        </w:rPr>
        <w:t xml:space="preserve">SPM 6: </w:t>
      </w:r>
      <w:r w:rsidR="000835AA">
        <w:rPr>
          <w:rFonts w:ascii="Calibri" w:hAnsi="Calibri" w:cs="Calibri"/>
          <w:sz w:val="24"/>
          <w:szCs w:val="24"/>
        </w:rPr>
        <w:t>a</w:t>
      </w:r>
      <w:r w:rsidR="000835AA" w:rsidRPr="00485243">
        <w:rPr>
          <w:rFonts w:ascii="Calibri" w:hAnsi="Calibri" w:cs="Calibri"/>
          <w:sz w:val="24"/>
          <w:szCs w:val="24"/>
        </w:rPr>
        <w:t xml:space="preserve">vailability </w:t>
      </w:r>
      <w:r w:rsidRPr="00485243">
        <w:rPr>
          <w:rFonts w:ascii="Calibri" w:hAnsi="Calibri" w:cs="Calibri"/>
          <w:sz w:val="24"/>
          <w:szCs w:val="24"/>
        </w:rPr>
        <w:t>of digital channels</w:t>
      </w:r>
    </w:p>
    <w:p w14:paraId="3EE60F4D" w14:textId="3F0D05D7" w:rsidR="00387982" w:rsidRPr="00485243" w:rsidRDefault="00387982" w:rsidP="00387982">
      <w:pPr>
        <w:pStyle w:val="ListParagraph"/>
        <w:numPr>
          <w:ilvl w:val="0"/>
          <w:numId w:val="24"/>
        </w:numPr>
        <w:spacing w:before="60" w:line="240" w:lineRule="auto"/>
        <w:ind w:left="714" w:hanging="357"/>
        <w:contextualSpacing w:val="0"/>
        <w:rPr>
          <w:rFonts w:ascii="Calibri" w:hAnsi="Calibri" w:cs="Calibri"/>
          <w:sz w:val="24"/>
          <w:szCs w:val="24"/>
        </w:rPr>
      </w:pPr>
      <w:r w:rsidRPr="00485243">
        <w:rPr>
          <w:rFonts w:ascii="Calibri" w:hAnsi="Calibri" w:cs="Calibri"/>
          <w:sz w:val="24"/>
          <w:szCs w:val="24"/>
        </w:rPr>
        <w:t xml:space="preserve">SPM 7: </w:t>
      </w:r>
      <w:r w:rsidR="000835AA">
        <w:rPr>
          <w:rFonts w:ascii="Calibri" w:hAnsi="Calibri" w:cs="Calibri"/>
          <w:sz w:val="24"/>
          <w:szCs w:val="24"/>
        </w:rPr>
        <w:t>t</w:t>
      </w:r>
      <w:r w:rsidR="000835AA" w:rsidRPr="00485243">
        <w:rPr>
          <w:rFonts w:ascii="Calibri" w:hAnsi="Calibri" w:cs="Calibri"/>
          <w:sz w:val="24"/>
          <w:szCs w:val="24"/>
        </w:rPr>
        <w:t xml:space="preserve">asks </w:t>
      </w:r>
      <w:r w:rsidRPr="00485243">
        <w:rPr>
          <w:rFonts w:ascii="Calibri" w:hAnsi="Calibri" w:cs="Calibri"/>
          <w:sz w:val="24"/>
          <w:szCs w:val="24"/>
        </w:rPr>
        <w:t>managed by customers in digital channels.</w:t>
      </w:r>
    </w:p>
    <w:p w14:paraId="1AE5CE6C" w14:textId="77777777" w:rsidR="00387982" w:rsidRPr="00485243" w:rsidRDefault="00387982" w:rsidP="00387982">
      <w:pPr>
        <w:pStyle w:val="Heading2"/>
      </w:pPr>
      <w:r w:rsidRPr="00485243">
        <w:t>Best practice principles</w:t>
      </w:r>
    </w:p>
    <w:p w14:paraId="7D2CC9B7" w14:textId="71A5DBE6"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 xml:space="preserve">Best practice in regulation is central to our principles of providing services that are simple, helpful, respectful and transparent. The </w:t>
      </w:r>
      <w:r w:rsidR="000835AA">
        <w:rPr>
          <w:rFonts w:ascii="Calibri" w:hAnsi="Calibri" w:cs="Calibri"/>
          <w:sz w:val="24"/>
          <w:szCs w:val="24"/>
        </w:rPr>
        <w:t>a</w:t>
      </w:r>
      <w:r w:rsidR="000835AA" w:rsidRPr="00485243">
        <w:rPr>
          <w:rFonts w:ascii="Calibri" w:hAnsi="Calibri" w:cs="Calibri"/>
          <w:sz w:val="24"/>
          <w:szCs w:val="24"/>
        </w:rPr>
        <w:t xml:space="preserve">gency </w:t>
      </w:r>
      <w:r w:rsidRPr="00485243">
        <w:rPr>
          <w:rFonts w:ascii="Calibri" w:hAnsi="Calibri" w:cs="Calibri"/>
          <w:sz w:val="24"/>
          <w:szCs w:val="24"/>
        </w:rPr>
        <w:t xml:space="preserve">recognises the importance of these principles in building trust and maintaining constructive stakeholder relationships in the regulatory context. </w:t>
      </w:r>
    </w:p>
    <w:p w14:paraId="3A43726F" w14:textId="13C293E9" w:rsidR="00387982" w:rsidRPr="00485243" w:rsidRDefault="00387982" w:rsidP="00387982">
      <w:pPr>
        <w:spacing w:line="240" w:lineRule="auto"/>
        <w:rPr>
          <w:rFonts w:ascii="Calibri" w:hAnsi="Calibri" w:cs="Calibri"/>
          <w:sz w:val="24"/>
          <w:szCs w:val="24"/>
        </w:rPr>
      </w:pPr>
      <w:r w:rsidRPr="00485243">
        <w:rPr>
          <w:rFonts w:ascii="Calibri" w:hAnsi="Calibri" w:cs="Calibri"/>
          <w:sz w:val="24"/>
          <w:szCs w:val="24"/>
        </w:rPr>
        <w:t xml:space="preserve">The Department of Finance sets out regulatory best practice principles to support agencies </w:t>
      </w:r>
      <w:r>
        <w:rPr>
          <w:rFonts w:ascii="Calibri" w:hAnsi="Calibri" w:cs="Calibri"/>
          <w:sz w:val="24"/>
          <w:szCs w:val="24"/>
        </w:rPr>
        <w:br/>
      </w:r>
      <w:r w:rsidRPr="00485243">
        <w:rPr>
          <w:rFonts w:ascii="Calibri" w:hAnsi="Calibri" w:cs="Calibri"/>
          <w:sz w:val="24"/>
          <w:szCs w:val="24"/>
        </w:rPr>
        <w:t xml:space="preserve">in developing performance monitoring and reporting processes and performance measures. The updated version of the Regulatory Policy, Practice and Performance Framework </w:t>
      </w:r>
      <w:r>
        <w:rPr>
          <w:rFonts w:ascii="Calibri" w:hAnsi="Calibri" w:cs="Calibri"/>
          <w:sz w:val="24"/>
          <w:szCs w:val="24"/>
        </w:rPr>
        <w:br/>
      </w:r>
      <w:r w:rsidRPr="00485243">
        <w:rPr>
          <w:rFonts w:ascii="Calibri" w:hAnsi="Calibri" w:cs="Calibri"/>
          <w:sz w:val="24"/>
          <w:szCs w:val="24"/>
        </w:rPr>
        <w:t xml:space="preserve">(the </w:t>
      </w:r>
      <w:r w:rsidR="000835AA">
        <w:rPr>
          <w:rFonts w:ascii="Calibri" w:hAnsi="Calibri" w:cs="Calibri"/>
          <w:sz w:val="24"/>
          <w:szCs w:val="24"/>
        </w:rPr>
        <w:t>f</w:t>
      </w:r>
      <w:r w:rsidRPr="00485243">
        <w:rPr>
          <w:rFonts w:ascii="Calibri" w:hAnsi="Calibri" w:cs="Calibri"/>
          <w:sz w:val="24"/>
          <w:szCs w:val="24"/>
        </w:rPr>
        <w:t xml:space="preserve">ramework), approved by the Hon Patrick Gorman MP, Assistant Minister to the </w:t>
      </w:r>
      <w:r>
        <w:rPr>
          <w:rFonts w:ascii="Calibri" w:hAnsi="Calibri" w:cs="Calibri"/>
          <w:sz w:val="24"/>
          <w:szCs w:val="24"/>
        </w:rPr>
        <w:br/>
      </w:r>
      <w:r w:rsidRPr="00485243">
        <w:rPr>
          <w:rFonts w:ascii="Calibri" w:hAnsi="Calibri" w:cs="Calibri"/>
          <w:sz w:val="24"/>
          <w:szCs w:val="24"/>
        </w:rPr>
        <w:t xml:space="preserve">Prime Minister, on behalf of the Prime Minister on 12 July 2024, sets out </w:t>
      </w:r>
      <w:r w:rsidR="000835AA">
        <w:rPr>
          <w:rFonts w:ascii="Calibri" w:hAnsi="Calibri" w:cs="Calibri"/>
          <w:sz w:val="24"/>
          <w:szCs w:val="24"/>
        </w:rPr>
        <w:t>6</w:t>
      </w:r>
      <w:r w:rsidR="000835AA" w:rsidRPr="00485243">
        <w:rPr>
          <w:rFonts w:ascii="Calibri" w:hAnsi="Calibri" w:cs="Calibri"/>
          <w:sz w:val="24"/>
          <w:szCs w:val="24"/>
        </w:rPr>
        <w:t xml:space="preserve"> </w:t>
      </w:r>
      <w:r w:rsidRPr="00485243">
        <w:rPr>
          <w:rFonts w:ascii="Calibri" w:hAnsi="Calibri" w:cs="Calibri"/>
          <w:sz w:val="24"/>
          <w:szCs w:val="24"/>
        </w:rPr>
        <w:t xml:space="preserve">principles for regulation. In accordance with the </w:t>
      </w:r>
      <w:r w:rsidR="000835AA">
        <w:rPr>
          <w:rFonts w:ascii="Calibri" w:hAnsi="Calibri" w:cs="Calibri"/>
          <w:sz w:val="24"/>
          <w:szCs w:val="24"/>
        </w:rPr>
        <w:t>m</w:t>
      </w:r>
      <w:r w:rsidR="000835AA" w:rsidRPr="00485243">
        <w:rPr>
          <w:rFonts w:ascii="Calibri" w:hAnsi="Calibri" w:cs="Calibri"/>
          <w:sz w:val="24"/>
          <w:szCs w:val="24"/>
        </w:rPr>
        <w:t xml:space="preserve">inister’s </w:t>
      </w:r>
      <w:r w:rsidR="000835AA">
        <w:rPr>
          <w:rFonts w:ascii="Calibri" w:hAnsi="Calibri" w:cs="Calibri"/>
          <w:sz w:val="24"/>
          <w:szCs w:val="24"/>
        </w:rPr>
        <w:t>s</w:t>
      </w:r>
      <w:r w:rsidR="000835AA" w:rsidRPr="00485243">
        <w:rPr>
          <w:rFonts w:ascii="Calibri" w:hAnsi="Calibri" w:cs="Calibri"/>
          <w:sz w:val="24"/>
          <w:szCs w:val="24"/>
        </w:rPr>
        <w:t xml:space="preserve">tatement </w:t>
      </w:r>
      <w:r w:rsidRPr="00485243">
        <w:rPr>
          <w:rFonts w:ascii="Calibri" w:hAnsi="Calibri" w:cs="Calibri"/>
          <w:sz w:val="24"/>
          <w:szCs w:val="24"/>
        </w:rPr>
        <w:t xml:space="preserve">of </w:t>
      </w:r>
      <w:r w:rsidR="000835AA">
        <w:rPr>
          <w:rFonts w:ascii="Calibri" w:hAnsi="Calibri" w:cs="Calibri"/>
          <w:sz w:val="24"/>
          <w:szCs w:val="24"/>
        </w:rPr>
        <w:t>e</w:t>
      </w:r>
      <w:r w:rsidR="000835AA" w:rsidRPr="00485243">
        <w:rPr>
          <w:rFonts w:ascii="Calibri" w:hAnsi="Calibri" w:cs="Calibri"/>
          <w:sz w:val="24"/>
          <w:szCs w:val="24"/>
        </w:rPr>
        <w:t xml:space="preserve">xpectations </w:t>
      </w:r>
      <w:r w:rsidRPr="00485243">
        <w:rPr>
          <w:rFonts w:ascii="Calibri" w:hAnsi="Calibri" w:cs="Calibri"/>
          <w:sz w:val="24"/>
          <w:szCs w:val="24"/>
        </w:rPr>
        <w:t xml:space="preserve">and the principles set out </w:t>
      </w:r>
      <w:r w:rsidRPr="00485243">
        <w:rPr>
          <w:rFonts w:ascii="Calibri" w:hAnsi="Calibri" w:cs="Calibri"/>
          <w:sz w:val="24"/>
          <w:szCs w:val="24"/>
        </w:rPr>
        <w:lastRenderedPageBreak/>
        <w:t xml:space="preserve">in the </w:t>
      </w:r>
      <w:r w:rsidR="000835AA">
        <w:rPr>
          <w:rFonts w:ascii="Calibri" w:hAnsi="Calibri" w:cs="Calibri"/>
          <w:sz w:val="24"/>
          <w:szCs w:val="24"/>
        </w:rPr>
        <w:t>f</w:t>
      </w:r>
      <w:r w:rsidR="000835AA" w:rsidRPr="00485243">
        <w:rPr>
          <w:rFonts w:ascii="Calibri" w:hAnsi="Calibri" w:cs="Calibri"/>
          <w:sz w:val="24"/>
          <w:szCs w:val="24"/>
        </w:rPr>
        <w:t>ramework</w:t>
      </w:r>
      <w:r w:rsidRPr="00485243">
        <w:rPr>
          <w:rFonts w:ascii="Calibri" w:hAnsi="Calibri" w:cs="Calibri"/>
          <w:sz w:val="24"/>
          <w:szCs w:val="24"/>
        </w:rPr>
        <w:t xml:space="preserve">, the </w:t>
      </w:r>
      <w:r w:rsidR="000835AA">
        <w:rPr>
          <w:rFonts w:ascii="Calibri" w:hAnsi="Calibri" w:cs="Calibri"/>
          <w:sz w:val="24"/>
          <w:szCs w:val="24"/>
        </w:rPr>
        <w:t>a</w:t>
      </w:r>
      <w:r w:rsidR="000835AA" w:rsidRPr="00485243">
        <w:rPr>
          <w:rFonts w:ascii="Calibri" w:hAnsi="Calibri" w:cs="Calibri"/>
          <w:sz w:val="24"/>
          <w:szCs w:val="24"/>
        </w:rPr>
        <w:t xml:space="preserve">gency </w:t>
      </w:r>
      <w:r w:rsidRPr="00485243">
        <w:rPr>
          <w:rFonts w:ascii="Calibri" w:hAnsi="Calibri" w:cs="Calibri"/>
          <w:sz w:val="24"/>
          <w:szCs w:val="24"/>
        </w:rPr>
        <w:t xml:space="preserve">will work to ensure its approach to its regulatory functions reflects these </w:t>
      </w:r>
      <w:r w:rsidR="000835AA">
        <w:rPr>
          <w:rFonts w:ascii="Calibri" w:hAnsi="Calibri" w:cs="Calibri"/>
          <w:sz w:val="24"/>
          <w:szCs w:val="24"/>
        </w:rPr>
        <w:t>6</w:t>
      </w:r>
      <w:r w:rsidR="000835AA" w:rsidRPr="00485243">
        <w:rPr>
          <w:rFonts w:ascii="Calibri" w:hAnsi="Calibri" w:cs="Calibri"/>
          <w:sz w:val="24"/>
          <w:szCs w:val="24"/>
        </w:rPr>
        <w:t xml:space="preserve"> </w:t>
      </w:r>
      <w:r w:rsidRPr="00485243">
        <w:rPr>
          <w:rFonts w:ascii="Calibri" w:hAnsi="Calibri" w:cs="Calibri"/>
          <w:sz w:val="24"/>
          <w:szCs w:val="24"/>
        </w:rPr>
        <w:t>principles.</w:t>
      </w:r>
    </w:p>
    <w:p w14:paraId="4889D707" w14:textId="77777777" w:rsidR="00387982" w:rsidRPr="00485243" w:rsidRDefault="00387982" w:rsidP="00387982">
      <w:pPr>
        <w:pStyle w:val="Heading3"/>
      </w:pPr>
      <w:r w:rsidRPr="00485243">
        <w:t>1. Targeted and risk-based</w:t>
      </w:r>
    </w:p>
    <w:p w14:paraId="6B0B050D" w14:textId="2AB0FC6E"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 xml:space="preserve">The </w:t>
      </w:r>
      <w:r w:rsidR="000835AA">
        <w:rPr>
          <w:rFonts w:ascii="Calibri" w:hAnsi="Calibri" w:cs="Calibri"/>
          <w:sz w:val="24"/>
          <w:szCs w:val="24"/>
        </w:rPr>
        <w:t>a</w:t>
      </w:r>
      <w:r w:rsidR="000835AA" w:rsidRPr="00485243">
        <w:rPr>
          <w:rFonts w:ascii="Calibri" w:hAnsi="Calibri" w:cs="Calibri"/>
          <w:sz w:val="24"/>
          <w:szCs w:val="24"/>
        </w:rPr>
        <w:t xml:space="preserve">gency </w:t>
      </w:r>
      <w:r w:rsidRPr="00485243">
        <w:rPr>
          <w:rFonts w:ascii="Calibri" w:hAnsi="Calibri" w:cs="Calibri"/>
          <w:sz w:val="24"/>
          <w:szCs w:val="24"/>
        </w:rPr>
        <w:t>will:</w:t>
      </w:r>
    </w:p>
    <w:p w14:paraId="20CDB7F0" w14:textId="62D0D6EF" w:rsidR="00387982" w:rsidRPr="00485243" w:rsidRDefault="000835A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a</w:t>
      </w:r>
      <w:r w:rsidR="00387982" w:rsidRPr="00485243">
        <w:rPr>
          <w:rFonts w:ascii="Calibri" w:hAnsi="Calibri" w:cs="Calibri"/>
          <w:sz w:val="24"/>
          <w:szCs w:val="24"/>
        </w:rPr>
        <w:t>dopt a whole-of-agency and whole-of-APS perspective to engage with and effectively mitigate strategic risk</w:t>
      </w:r>
      <w:r>
        <w:rPr>
          <w:rFonts w:ascii="Calibri" w:hAnsi="Calibri" w:cs="Calibri"/>
          <w:sz w:val="24"/>
          <w:szCs w:val="24"/>
        </w:rPr>
        <w:t>,</w:t>
      </w:r>
      <w:r w:rsidR="00387982" w:rsidRPr="00485243">
        <w:rPr>
          <w:rFonts w:ascii="Calibri" w:hAnsi="Calibri" w:cs="Calibri"/>
          <w:sz w:val="24"/>
          <w:szCs w:val="24"/>
        </w:rPr>
        <w:t xml:space="preserve"> in order to successfully perform its regulatory functions.</w:t>
      </w:r>
    </w:p>
    <w:p w14:paraId="0F16418A" w14:textId="00D279E7" w:rsidR="00387982" w:rsidRPr="00485243" w:rsidRDefault="000835A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m</w:t>
      </w:r>
      <w:r w:rsidRPr="00485243">
        <w:rPr>
          <w:rFonts w:ascii="Calibri" w:hAnsi="Calibri" w:cs="Calibri"/>
          <w:sz w:val="24"/>
          <w:szCs w:val="24"/>
        </w:rPr>
        <w:t xml:space="preserve">ake </w:t>
      </w:r>
      <w:r w:rsidR="00387982" w:rsidRPr="00485243">
        <w:rPr>
          <w:rFonts w:ascii="Calibri" w:hAnsi="Calibri" w:cs="Calibri"/>
          <w:sz w:val="24"/>
          <w:szCs w:val="24"/>
        </w:rPr>
        <w:t>compliance easier by simplifying processes, making information more accessible and educating customers about the purpose of regulatory requirements, their obligations and how to comply, and what to expect in the event of non-compliance.</w:t>
      </w:r>
    </w:p>
    <w:p w14:paraId="63DD0C52" w14:textId="259B35B0" w:rsidR="00387982" w:rsidRPr="00485243" w:rsidRDefault="009B4363" w:rsidP="00387982">
      <w:pPr>
        <w:pStyle w:val="ListParagraph"/>
        <w:numPr>
          <w:ilvl w:val="0"/>
          <w:numId w:val="23"/>
        </w:numPr>
        <w:tabs>
          <w:tab w:val="clear" w:pos="720"/>
          <w:tab w:val="num" w:pos="426"/>
        </w:tabs>
        <w:spacing w:before="60" w:line="240" w:lineRule="auto"/>
        <w:ind w:left="425" w:hanging="425"/>
        <w:contextualSpacing w:val="0"/>
        <w:rPr>
          <w:rFonts w:ascii="Calibri" w:hAnsi="Calibri" w:cs="Calibri"/>
          <w:sz w:val="24"/>
          <w:szCs w:val="24"/>
        </w:rPr>
      </w:pPr>
      <w:r>
        <w:rPr>
          <w:rFonts w:ascii="Calibri" w:hAnsi="Calibri" w:cs="Calibri"/>
          <w:sz w:val="24"/>
          <w:szCs w:val="24"/>
        </w:rPr>
        <w:t>p</w:t>
      </w:r>
      <w:r w:rsidRPr="00485243">
        <w:rPr>
          <w:rFonts w:ascii="Calibri" w:hAnsi="Calibri" w:cs="Calibri"/>
          <w:sz w:val="24"/>
          <w:szCs w:val="24"/>
        </w:rPr>
        <w:t xml:space="preserve">rovide </w:t>
      </w:r>
      <w:r w:rsidR="00387982" w:rsidRPr="00485243">
        <w:rPr>
          <w:rFonts w:ascii="Calibri" w:hAnsi="Calibri" w:cs="Calibri"/>
          <w:sz w:val="24"/>
          <w:szCs w:val="24"/>
        </w:rPr>
        <w:t>up-to-date, clear and accessible guidance and information to assist customers in meeting their obligations and seek to reduce non-compliance through proactive measures to alert customers of requirements and simple, accessible and flexible avenues to meet compliance requirements.</w:t>
      </w:r>
    </w:p>
    <w:p w14:paraId="322E80AE" w14:textId="77777777" w:rsidR="00387982" w:rsidRPr="00485243" w:rsidRDefault="00387982" w:rsidP="00387982">
      <w:pPr>
        <w:pStyle w:val="Heading3"/>
      </w:pPr>
      <w:r w:rsidRPr="00485243">
        <w:t>2. Integrated in existing systems</w:t>
      </w:r>
    </w:p>
    <w:p w14:paraId="3D0B535A" w14:textId="4E675F34" w:rsidR="00387982" w:rsidRPr="00485243" w:rsidRDefault="00387982" w:rsidP="00387982">
      <w:pPr>
        <w:spacing w:after="120" w:line="240" w:lineRule="auto"/>
        <w:rPr>
          <w:rFonts w:ascii="Calibri" w:hAnsi="Calibri" w:cs="Calibri"/>
          <w:sz w:val="24"/>
          <w:szCs w:val="24"/>
        </w:rPr>
      </w:pPr>
      <w:r w:rsidRPr="00485243">
        <w:rPr>
          <w:rFonts w:ascii="Calibri" w:hAnsi="Calibri" w:cs="Calibri"/>
          <w:sz w:val="24"/>
          <w:szCs w:val="24"/>
        </w:rPr>
        <w:t xml:space="preserve">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will:</w:t>
      </w:r>
    </w:p>
    <w:p w14:paraId="768969C0" w14:textId="6EBC310E"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m</w:t>
      </w:r>
      <w:r w:rsidRPr="00485243">
        <w:rPr>
          <w:rFonts w:ascii="Calibri" w:hAnsi="Calibri" w:cs="Calibri"/>
          <w:sz w:val="24"/>
          <w:szCs w:val="24"/>
        </w:rPr>
        <w:t xml:space="preserve">aintain </w:t>
      </w:r>
      <w:r w:rsidR="00387982" w:rsidRPr="00485243">
        <w:rPr>
          <w:rFonts w:ascii="Calibri" w:hAnsi="Calibri" w:cs="Calibri"/>
          <w:sz w:val="24"/>
          <w:szCs w:val="24"/>
        </w:rPr>
        <w:t>an awareness of the broader regulatory ecosystem to identify potential overlap, disparities and opportunities for alignment.</w:t>
      </w:r>
    </w:p>
    <w:p w14:paraId="10AAE496" w14:textId="1DA6DD27"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c</w:t>
      </w:r>
      <w:r w:rsidRPr="00485243">
        <w:rPr>
          <w:rFonts w:ascii="Calibri" w:hAnsi="Calibri" w:cs="Calibri"/>
          <w:sz w:val="24"/>
          <w:szCs w:val="24"/>
        </w:rPr>
        <w:t xml:space="preserve">ontinue </w:t>
      </w:r>
      <w:r w:rsidR="00387982" w:rsidRPr="00485243">
        <w:rPr>
          <w:rFonts w:ascii="Calibri" w:hAnsi="Calibri" w:cs="Calibri"/>
          <w:sz w:val="24"/>
          <w:szCs w:val="24"/>
        </w:rPr>
        <w:t>to engage with other departments and agencies across the Commonwealth and with states and territories</w:t>
      </w:r>
      <w:r>
        <w:rPr>
          <w:rFonts w:ascii="Calibri" w:hAnsi="Calibri" w:cs="Calibri"/>
          <w:sz w:val="24"/>
          <w:szCs w:val="24"/>
        </w:rPr>
        <w:t>,</w:t>
      </w:r>
      <w:r w:rsidR="00387982" w:rsidRPr="00485243">
        <w:rPr>
          <w:rFonts w:ascii="Calibri" w:hAnsi="Calibri" w:cs="Calibri"/>
          <w:sz w:val="24"/>
          <w:szCs w:val="24"/>
        </w:rPr>
        <w:t xml:space="preserve"> and ensure the </w:t>
      </w:r>
      <w:r>
        <w:rPr>
          <w:rFonts w:ascii="Calibri" w:hAnsi="Calibri" w:cs="Calibri"/>
          <w:sz w:val="24"/>
          <w:szCs w:val="24"/>
        </w:rPr>
        <w:t>a</w:t>
      </w:r>
      <w:r w:rsidRPr="00485243">
        <w:rPr>
          <w:rFonts w:ascii="Calibri" w:hAnsi="Calibri" w:cs="Calibri"/>
          <w:sz w:val="24"/>
          <w:szCs w:val="24"/>
        </w:rPr>
        <w:t xml:space="preserve">gency </w:t>
      </w:r>
      <w:r w:rsidR="00387982" w:rsidRPr="00485243">
        <w:rPr>
          <w:rFonts w:ascii="Calibri" w:hAnsi="Calibri" w:cs="Calibri"/>
          <w:sz w:val="24"/>
          <w:szCs w:val="24"/>
        </w:rPr>
        <w:t>is aware of regulatory developments throughs forums</w:t>
      </w:r>
      <w:r>
        <w:rPr>
          <w:rFonts w:ascii="Calibri" w:hAnsi="Calibri" w:cs="Calibri"/>
          <w:sz w:val="24"/>
          <w:szCs w:val="24"/>
        </w:rPr>
        <w:t>,</w:t>
      </w:r>
      <w:r w:rsidR="00387982" w:rsidRPr="00485243">
        <w:rPr>
          <w:rFonts w:ascii="Calibri" w:hAnsi="Calibri" w:cs="Calibri"/>
          <w:sz w:val="24"/>
          <w:szCs w:val="24"/>
        </w:rPr>
        <w:t xml:space="preserve"> such as the Regulatory Reform Interdepartmental Committee.</w:t>
      </w:r>
    </w:p>
    <w:p w14:paraId="07100F75" w14:textId="3D3F2F4B"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u</w:t>
      </w:r>
      <w:r w:rsidRPr="00485243">
        <w:rPr>
          <w:rFonts w:ascii="Calibri" w:hAnsi="Calibri" w:cs="Calibri"/>
          <w:sz w:val="24"/>
          <w:szCs w:val="24"/>
        </w:rPr>
        <w:t xml:space="preserve">tilise </w:t>
      </w:r>
      <w:r w:rsidR="00387982" w:rsidRPr="00485243">
        <w:rPr>
          <w:rFonts w:ascii="Calibri" w:hAnsi="Calibri" w:cs="Calibri"/>
          <w:sz w:val="24"/>
          <w:szCs w:val="24"/>
        </w:rPr>
        <w:t xml:space="preserve">formal and structured bilateral governance arrangements and collaborative working partnerships with other Commonwealth, </w:t>
      </w:r>
      <w:r>
        <w:rPr>
          <w:rFonts w:ascii="Calibri" w:hAnsi="Calibri" w:cs="Calibri"/>
          <w:sz w:val="24"/>
          <w:szCs w:val="24"/>
        </w:rPr>
        <w:t>s</w:t>
      </w:r>
      <w:r w:rsidRPr="00485243">
        <w:rPr>
          <w:rFonts w:ascii="Calibri" w:hAnsi="Calibri" w:cs="Calibri"/>
          <w:sz w:val="24"/>
          <w:szCs w:val="24"/>
        </w:rPr>
        <w:t xml:space="preserve">tate </w:t>
      </w:r>
      <w:r w:rsidR="00387982" w:rsidRPr="00485243">
        <w:rPr>
          <w:rFonts w:ascii="Calibri" w:hAnsi="Calibri" w:cs="Calibri"/>
          <w:sz w:val="24"/>
          <w:szCs w:val="24"/>
        </w:rPr>
        <w:t xml:space="preserve">and </w:t>
      </w:r>
      <w:r>
        <w:rPr>
          <w:rFonts w:ascii="Calibri" w:hAnsi="Calibri" w:cs="Calibri"/>
          <w:sz w:val="24"/>
          <w:szCs w:val="24"/>
        </w:rPr>
        <w:t>t</w:t>
      </w:r>
      <w:r w:rsidRPr="00485243">
        <w:rPr>
          <w:rFonts w:ascii="Calibri" w:hAnsi="Calibri" w:cs="Calibri"/>
          <w:sz w:val="24"/>
          <w:szCs w:val="24"/>
        </w:rPr>
        <w:t xml:space="preserve">erritory </w:t>
      </w:r>
      <w:r w:rsidR="00387982" w:rsidRPr="00485243">
        <w:rPr>
          <w:rFonts w:ascii="Calibri" w:hAnsi="Calibri" w:cs="Calibri"/>
          <w:sz w:val="24"/>
          <w:szCs w:val="24"/>
        </w:rPr>
        <w:t>entities</w:t>
      </w:r>
      <w:r>
        <w:rPr>
          <w:rFonts w:ascii="Calibri" w:hAnsi="Calibri" w:cs="Calibri"/>
          <w:sz w:val="24"/>
          <w:szCs w:val="24"/>
        </w:rPr>
        <w:t>,</w:t>
      </w:r>
      <w:r w:rsidR="00387982" w:rsidRPr="00485243">
        <w:rPr>
          <w:rFonts w:ascii="Calibri" w:hAnsi="Calibri" w:cs="Calibri"/>
          <w:sz w:val="24"/>
          <w:szCs w:val="24"/>
        </w:rPr>
        <w:t xml:space="preserve"> </w:t>
      </w:r>
      <w:proofErr w:type="gramStart"/>
      <w:r w:rsidR="00387982" w:rsidRPr="00485243">
        <w:rPr>
          <w:rFonts w:ascii="Calibri" w:hAnsi="Calibri" w:cs="Calibri"/>
          <w:sz w:val="24"/>
          <w:szCs w:val="24"/>
        </w:rPr>
        <w:t>in order to</w:t>
      </w:r>
      <w:proofErr w:type="gramEnd"/>
      <w:r w:rsidR="00387982" w:rsidRPr="00485243">
        <w:rPr>
          <w:rFonts w:ascii="Calibri" w:hAnsi="Calibri" w:cs="Calibri"/>
          <w:sz w:val="24"/>
          <w:szCs w:val="24"/>
        </w:rPr>
        <w:t xml:space="preserve"> support the regulatory framework.</w:t>
      </w:r>
    </w:p>
    <w:p w14:paraId="0E2DC17E" w14:textId="3C8E7466" w:rsidR="00387982" w:rsidRPr="00485243" w:rsidRDefault="00F4066A" w:rsidP="00387982">
      <w:pPr>
        <w:pStyle w:val="ListParagraph"/>
        <w:numPr>
          <w:ilvl w:val="0"/>
          <w:numId w:val="23"/>
        </w:numPr>
        <w:tabs>
          <w:tab w:val="clear" w:pos="720"/>
          <w:tab w:val="num" w:pos="426"/>
        </w:tabs>
        <w:spacing w:before="60" w:line="240" w:lineRule="auto"/>
        <w:ind w:left="425" w:hanging="425"/>
        <w:contextualSpacing w:val="0"/>
        <w:rPr>
          <w:rFonts w:ascii="Calibri" w:hAnsi="Calibri" w:cs="Calibri"/>
          <w:sz w:val="24"/>
          <w:szCs w:val="24"/>
        </w:rPr>
      </w:pPr>
      <w:r>
        <w:rPr>
          <w:rFonts w:ascii="Calibri" w:hAnsi="Calibri" w:cs="Calibri"/>
          <w:sz w:val="24"/>
          <w:szCs w:val="24"/>
        </w:rPr>
        <w:t>p</w:t>
      </w:r>
      <w:r w:rsidRPr="00485243">
        <w:rPr>
          <w:rFonts w:ascii="Calibri" w:hAnsi="Calibri" w:cs="Calibri"/>
          <w:sz w:val="24"/>
          <w:szCs w:val="24"/>
        </w:rPr>
        <w:t xml:space="preserve">rovide </w:t>
      </w:r>
      <w:r w:rsidR="00387982" w:rsidRPr="00485243">
        <w:rPr>
          <w:rFonts w:ascii="Calibri" w:hAnsi="Calibri" w:cs="Calibri"/>
          <w:sz w:val="24"/>
          <w:szCs w:val="24"/>
        </w:rPr>
        <w:t xml:space="preserve">advice to other departments on the service delivery impacts of proposed regulatory measures through the </w:t>
      </w:r>
      <w:r>
        <w:rPr>
          <w:rFonts w:ascii="Calibri" w:hAnsi="Calibri" w:cs="Calibri"/>
          <w:sz w:val="24"/>
          <w:szCs w:val="24"/>
        </w:rPr>
        <w:t>c</w:t>
      </w:r>
      <w:r w:rsidRPr="00485243">
        <w:rPr>
          <w:rFonts w:ascii="Calibri" w:hAnsi="Calibri" w:cs="Calibri"/>
          <w:sz w:val="24"/>
          <w:szCs w:val="24"/>
        </w:rPr>
        <w:t xml:space="preserve">abinet </w:t>
      </w:r>
      <w:r>
        <w:rPr>
          <w:rFonts w:ascii="Calibri" w:hAnsi="Calibri" w:cs="Calibri"/>
          <w:sz w:val="24"/>
          <w:szCs w:val="24"/>
        </w:rPr>
        <w:t>s</w:t>
      </w:r>
      <w:r w:rsidRPr="00485243">
        <w:rPr>
          <w:rFonts w:ascii="Calibri" w:hAnsi="Calibri" w:cs="Calibri"/>
          <w:sz w:val="24"/>
          <w:szCs w:val="24"/>
        </w:rPr>
        <w:t xml:space="preserve">ubmission </w:t>
      </w:r>
      <w:r w:rsidR="00387982" w:rsidRPr="00485243">
        <w:rPr>
          <w:rFonts w:ascii="Calibri" w:hAnsi="Calibri" w:cs="Calibri"/>
          <w:sz w:val="24"/>
          <w:szCs w:val="24"/>
        </w:rPr>
        <w:t>process.</w:t>
      </w:r>
    </w:p>
    <w:p w14:paraId="0C64A4EA" w14:textId="77777777" w:rsidR="00387982" w:rsidRPr="00485243" w:rsidRDefault="00387982" w:rsidP="00387982">
      <w:pPr>
        <w:pStyle w:val="Heading3"/>
      </w:pPr>
      <w:r w:rsidRPr="00485243">
        <w:t>3. User-centred</w:t>
      </w:r>
    </w:p>
    <w:p w14:paraId="0C1769F2" w14:textId="40144146" w:rsidR="00387982" w:rsidRPr="00485243" w:rsidRDefault="00387982" w:rsidP="00387982">
      <w:pPr>
        <w:rPr>
          <w:rFonts w:ascii="Calibri" w:hAnsi="Calibri" w:cs="Calibri"/>
          <w:sz w:val="24"/>
          <w:szCs w:val="24"/>
        </w:rPr>
      </w:pPr>
      <w:r w:rsidRPr="00485243">
        <w:rPr>
          <w:rFonts w:ascii="Calibri" w:hAnsi="Calibri" w:cs="Calibri"/>
          <w:sz w:val="24"/>
          <w:szCs w:val="24"/>
        </w:rPr>
        <w:t xml:space="preserve">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will:</w:t>
      </w:r>
    </w:p>
    <w:p w14:paraId="79482095" w14:textId="6418FA90"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s</w:t>
      </w:r>
      <w:r w:rsidRPr="00485243">
        <w:rPr>
          <w:rFonts w:ascii="Calibri" w:hAnsi="Calibri" w:cs="Calibri"/>
          <w:sz w:val="24"/>
          <w:szCs w:val="24"/>
        </w:rPr>
        <w:t xml:space="preserve">eek </w:t>
      </w:r>
      <w:r w:rsidR="00387982" w:rsidRPr="00485243">
        <w:rPr>
          <w:rFonts w:ascii="Calibri" w:hAnsi="Calibri" w:cs="Calibri"/>
          <w:sz w:val="24"/>
          <w:szCs w:val="24"/>
        </w:rPr>
        <w:t>opportunities to remove duplication and streamline processes</w:t>
      </w:r>
      <w:r>
        <w:rPr>
          <w:rFonts w:ascii="Calibri" w:hAnsi="Calibri" w:cs="Calibri"/>
          <w:sz w:val="24"/>
          <w:szCs w:val="24"/>
        </w:rPr>
        <w:t>,</w:t>
      </w:r>
      <w:r w:rsidR="00387982" w:rsidRPr="00485243">
        <w:rPr>
          <w:rFonts w:ascii="Calibri" w:hAnsi="Calibri" w:cs="Calibri"/>
          <w:sz w:val="24"/>
          <w:szCs w:val="24"/>
        </w:rPr>
        <w:t xml:space="preserve"> to reduce the regulatory burden and provide simple, secure and accessible services.</w:t>
      </w:r>
    </w:p>
    <w:p w14:paraId="5F16F2C2" w14:textId="2D5141E0"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e</w:t>
      </w:r>
      <w:r w:rsidRPr="00485243">
        <w:rPr>
          <w:rFonts w:ascii="Calibri" w:hAnsi="Calibri" w:cs="Calibri"/>
          <w:sz w:val="24"/>
          <w:szCs w:val="24"/>
        </w:rPr>
        <w:t xml:space="preserve">ngage </w:t>
      </w:r>
      <w:r w:rsidR="00387982" w:rsidRPr="00485243">
        <w:rPr>
          <w:rFonts w:ascii="Calibri" w:hAnsi="Calibri" w:cs="Calibri"/>
          <w:sz w:val="24"/>
          <w:szCs w:val="24"/>
        </w:rPr>
        <w:t>with customers, peak bodies and other stakeholders, and seek and incorporate diverse viewpoints, to build trust and confidence in the government’s regulatory settings.</w:t>
      </w:r>
    </w:p>
    <w:p w14:paraId="0E6BD56B" w14:textId="215906DE"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e</w:t>
      </w:r>
      <w:r w:rsidRPr="00485243">
        <w:rPr>
          <w:rFonts w:ascii="Calibri" w:hAnsi="Calibri" w:cs="Calibri"/>
          <w:sz w:val="24"/>
          <w:szCs w:val="24"/>
        </w:rPr>
        <w:t xml:space="preserve">ngage </w:t>
      </w:r>
      <w:r w:rsidR="00387982" w:rsidRPr="00485243">
        <w:rPr>
          <w:rFonts w:ascii="Calibri" w:hAnsi="Calibri" w:cs="Calibri"/>
          <w:sz w:val="24"/>
          <w:szCs w:val="24"/>
        </w:rPr>
        <w:t>with peak community sector organisations through our established advisory forums</w:t>
      </w:r>
      <w:r>
        <w:rPr>
          <w:rFonts w:ascii="Calibri" w:hAnsi="Calibri" w:cs="Calibri"/>
          <w:sz w:val="24"/>
          <w:szCs w:val="24"/>
        </w:rPr>
        <w:t>,</w:t>
      </w:r>
      <w:r w:rsidR="00387982" w:rsidRPr="00485243">
        <w:rPr>
          <w:rFonts w:ascii="Calibri" w:hAnsi="Calibri" w:cs="Calibri"/>
          <w:sz w:val="24"/>
          <w:szCs w:val="24"/>
        </w:rPr>
        <w:t xml:space="preserve"> including the Civil Society Advisory Group, the National Multicultural Advisory Group, Stakeholder Consultative Group and disability peak bodies.</w:t>
      </w:r>
    </w:p>
    <w:p w14:paraId="59E734A6" w14:textId="6F6939FA" w:rsidR="00387982" w:rsidRPr="00485243" w:rsidRDefault="00F4066A" w:rsidP="00387982">
      <w:pPr>
        <w:pStyle w:val="ListParagraph"/>
        <w:numPr>
          <w:ilvl w:val="0"/>
          <w:numId w:val="23"/>
        </w:numPr>
        <w:tabs>
          <w:tab w:val="clear" w:pos="720"/>
          <w:tab w:val="num" w:pos="426"/>
        </w:tabs>
        <w:spacing w:before="60" w:line="240" w:lineRule="auto"/>
        <w:ind w:left="425" w:hanging="425"/>
        <w:contextualSpacing w:val="0"/>
        <w:rPr>
          <w:rFonts w:ascii="Calibri" w:hAnsi="Calibri" w:cs="Calibri"/>
          <w:sz w:val="24"/>
          <w:szCs w:val="24"/>
        </w:rPr>
      </w:pPr>
      <w:r>
        <w:rPr>
          <w:rFonts w:ascii="Calibri" w:hAnsi="Calibri" w:cs="Calibri"/>
          <w:sz w:val="24"/>
          <w:szCs w:val="24"/>
        </w:rPr>
        <w:t>i</w:t>
      </w:r>
      <w:r w:rsidRPr="00485243">
        <w:rPr>
          <w:rFonts w:ascii="Calibri" w:hAnsi="Calibri" w:cs="Calibri"/>
          <w:sz w:val="24"/>
          <w:szCs w:val="24"/>
        </w:rPr>
        <w:t xml:space="preserve">dentify </w:t>
      </w:r>
      <w:r w:rsidR="00387982" w:rsidRPr="00485243">
        <w:rPr>
          <w:rFonts w:ascii="Calibri" w:hAnsi="Calibri" w:cs="Calibri"/>
          <w:sz w:val="24"/>
          <w:szCs w:val="24"/>
        </w:rPr>
        <w:t>opportunities to engage and co-design services with customers and other stakeholders, seek feedback on service delivery and respond to diverse views.</w:t>
      </w:r>
    </w:p>
    <w:p w14:paraId="15DBA8C9" w14:textId="77777777" w:rsidR="00387982" w:rsidRPr="00485243" w:rsidRDefault="00387982" w:rsidP="00387982">
      <w:pPr>
        <w:pStyle w:val="Heading3"/>
      </w:pPr>
      <w:r w:rsidRPr="00485243">
        <w:t>4. Evidence-based and data-driven</w:t>
      </w:r>
    </w:p>
    <w:p w14:paraId="26E6F0C0" w14:textId="32E22907" w:rsidR="00387982" w:rsidRPr="00485243" w:rsidRDefault="00387982" w:rsidP="00387982">
      <w:pPr>
        <w:rPr>
          <w:rFonts w:ascii="Calibri" w:hAnsi="Calibri" w:cs="Calibri"/>
          <w:sz w:val="24"/>
          <w:szCs w:val="24"/>
        </w:rPr>
      </w:pPr>
      <w:r w:rsidRPr="00485243">
        <w:rPr>
          <w:rFonts w:ascii="Calibri" w:hAnsi="Calibri" w:cs="Calibri"/>
          <w:sz w:val="24"/>
          <w:szCs w:val="24"/>
        </w:rPr>
        <w:t xml:space="preserve">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will:</w:t>
      </w:r>
    </w:p>
    <w:p w14:paraId="04AEC567" w14:textId="294CB91A"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lastRenderedPageBreak/>
        <w:t>u</w:t>
      </w:r>
      <w:r w:rsidRPr="00485243">
        <w:rPr>
          <w:rFonts w:ascii="Calibri" w:hAnsi="Calibri" w:cs="Calibri"/>
          <w:sz w:val="24"/>
          <w:szCs w:val="24"/>
        </w:rPr>
        <w:t xml:space="preserve">se </w:t>
      </w:r>
      <w:r w:rsidR="00387982" w:rsidRPr="00485243">
        <w:rPr>
          <w:rFonts w:ascii="Calibri" w:hAnsi="Calibri" w:cs="Calibri"/>
          <w:sz w:val="24"/>
          <w:szCs w:val="24"/>
        </w:rPr>
        <w:t xml:space="preserve">data and digital technology to maintain essential safeguards and ensure the integrity </w:t>
      </w:r>
      <w:r w:rsidR="00387982">
        <w:rPr>
          <w:rFonts w:ascii="Calibri" w:hAnsi="Calibri" w:cs="Calibri"/>
          <w:sz w:val="24"/>
          <w:szCs w:val="24"/>
        </w:rPr>
        <w:br/>
      </w:r>
      <w:r w:rsidR="00387982" w:rsidRPr="00485243">
        <w:rPr>
          <w:rFonts w:ascii="Calibri" w:hAnsi="Calibri" w:cs="Calibri"/>
          <w:sz w:val="24"/>
          <w:szCs w:val="24"/>
        </w:rPr>
        <w:t>of government payments</w:t>
      </w:r>
      <w:r>
        <w:rPr>
          <w:rFonts w:ascii="Calibri" w:hAnsi="Calibri" w:cs="Calibri"/>
          <w:sz w:val="24"/>
          <w:szCs w:val="24"/>
        </w:rPr>
        <w:t>,</w:t>
      </w:r>
      <w:r w:rsidR="00387982" w:rsidRPr="00485243">
        <w:rPr>
          <w:rFonts w:ascii="Calibri" w:hAnsi="Calibri" w:cs="Calibri"/>
          <w:sz w:val="24"/>
          <w:szCs w:val="24"/>
        </w:rPr>
        <w:t xml:space="preserve"> while managing risks proportionately to minimise the regulatory burden of compliance.</w:t>
      </w:r>
    </w:p>
    <w:p w14:paraId="3FD7B71E" w14:textId="7F65DFD3"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d</w:t>
      </w:r>
      <w:r w:rsidR="00387982" w:rsidRPr="00485243">
        <w:rPr>
          <w:rFonts w:ascii="Calibri" w:hAnsi="Calibri" w:cs="Calibri"/>
          <w:sz w:val="24"/>
          <w:szCs w:val="24"/>
        </w:rPr>
        <w:t>raw on its data and where appropriate</w:t>
      </w:r>
      <w:r>
        <w:rPr>
          <w:rFonts w:ascii="Calibri" w:hAnsi="Calibri" w:cs="Calibri"/>
          <w:sz w:val="24"/>
          <w:szCs w:val="24"/>
        </w:rPr>
        <w:t>,</w:t>
      </w:r>
      <w:r w:rsidR="00387982" w:rsidRPr="00485243">
        <w:rPr>
          <w:rFonts w:ascii="Calibri" w:hAnsi="Calibri" w:cs="Calibri"/>
          <w:sz w:val="24"/>
          <w:szCs w:val="24"/>
        </w:rPr>
        <w:t xml:space="preserve"> share data (which could include insights and research) with other Commonwealth agencies</w:t>
      </w:r>
      <w:r>
        <w:rPr>
          <w:rFonts w:ascii="Calibri" w:hAnsi="Calibri" w:cs="Calibri"/>
          <w:sz w:val="24"/>
          <w:szCs w:val="24"/>
        </w:rPr>
        <w:t>,</w:t>
      </w:r>
      <w:r w:rsidR="00387982" w:rsidRPr="00485243">
        <w:rPr>
          <w:rFonts w:ascii="Calibri" w:hAnsi="Calibri" w:cs="Calibri"/>
          <w:sz w:val="24"/>
          <w:szCs w:val="24"/>
        </w:rPr>
        <w:t xml:space="preserve"> to understand how regulatory measures impact businesses, individuals and the community.</w:t>
      </w:r>
    </w:p>
    <w:p w14:paraId="5198C44D" w14:textId="389B531D" w:rsidR="00387982" w:rsidRPr="00485243" w:rsidRDefault="00F4066A" w:rsidP="00387982">
      <w:pPr>
        <w:pStyle w:val="ListParagraph"/>
        <w:numPr>
          <w:ilvl w:val="0"/>
          <w:numId w:val="23"/>
        </w:numPr>
        <w:tabs>
          <w:tab w:val="clear" w:pos="720"/>
          <w:tab w:val="num" w:pos="426"/>
        </w:tabs>
        <w:spacing w:before="60" w:line="240" w:lineRule="auto"/>
        <w:ind w:left="425" w:hanging="425"/>
        <w:contextualSpacing w:val="0"/>
        <w:rPr>
          <w:rFonts w:ascii="Calibri" w:hAnsi="Calibri" w:cs="Calibri"/>
          <w:sz w:val="24"/>
          <w:szCs w:val="24"/>
        </w:rPr>
      </w:pPr>
      <w:r>
        <w:rPr>
          <w:rFonts w:ascii="Calibri" w:hAnsi="Calibri" w:cs="Calibri"/>
          <w:sz w:val="24"/>
          <w:szCs w:val="24"/>
        </w:rPr>
        <w:t>i</w:t>
      </w:r>
      <w:r w:rsidRPr="00485243">
        <w:rPr>
          <w:rFonts w:ascii="Calibri" w:hAnsi="Calibri" w:cs="Calibri"/>
          <w:sz w:val="24"/>
          <w:szCs w:val="24"/>
        </w:rPr>
        <w:t xml:space="preserve">mplement </w:t>
      </w:r>
      <w:r w:rsidR="00387982" w:rsidRPr="00485243">
        <w:rPr>
          <w:rFonts w:ascii="Calibri" w:hAnsi="Calibri" w:cs="Calibri"/>
          <w:sz w:val="24"/>
          <w:szCs w:val="24"/>
        </w:rPr>
        <w:t>environmental scanning and data collection strategies</w:t>
      </w:r>
      <w:r>
        <w:rPr>
          <w:rFonts w:ascii="Calibri" w:hAnsi="Calibri" w:cs="Calibri"/>
          <w:sz w:val="24"/>
          <w:szCs w:val="24"/>
        </w:rPr>
        <w:t>,</w:t>
      </w:r>
      <w:r w:rsidR="00387982" w:rsidRPr="00485243">
        <w:rPr>
          <w:rFonts w:ascii="Calibri" w:hAnsi="Calibri" w:cs="Calibri"/>
          <w:sz w:val="24"/>
          <w:szCs w:val="24"/>
        </w:rPr>
        <w:t xml:space="preserve"> to inform risk-based assessments and evidence-based education, monitoring, compliance and enforcement decisions.</w:t>
      </w:r>
    </w:p>
    <w:p w14:paraId="6CAFA5F9" w14:textId="77777777" w:rsidR="00387982" w:rsidRPr="00485243" w:rsidRDefault="00387982" w:rsidP="00387982">
      <w:pPr>
        <w:pStyle w:val="Heading3"/>
      </w:pPr>
      <w:r w:rsidRPr="00485243">
        <w:t>5. Reflective of the digital era</w:t>
      </w:r>
    </w:p>
    <w:p w14:paraId="297F1FCB" w14:textId="39D0618B" w:rsidR="00387982" w:rsidRPr="00485243" w:rsidRDefault="00387982" w:rsidP="00387982">
      <w:pPr>
        <w:rPr>
          <w:rFonts w:ascii="Calibri" w:hAnsi="Calibri" w:cs="Calibri"/>
          <w:sz w:val="24"/>
          <w:szCs w:val="24"/>
        </w:rPr>
      </w:pPr>
      <w:r w:rsidRPr="00485243">
        <w:rPr>
          <w:rFonts w:ascii="Calibri" w:hAnsi="Calibri" w:cs="Calibri"/>
          <w:sz w:val="24"/>
          <w:szCs w:val="24"/>
        </w:rPr>
        <w:t xml:space="preserve">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will:</w:t>
      </w:r>
    </w:p>
    <w:p w14:paraId="0CF37C9A" w14:textId="0A3AF275"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d</w:t>
      </w:r>
      <w:r w:rsidRPr="00485243">
        <w:rPr>
          <w:rFonts w:ascii="Calibri" w:hAnsi="Calibri" w:cs="Calibri"/>
          <w:sz w:val="24"/>
          <w:szCs w:val="24"/>
        </w:rPr>
        <w:t xml:space="preserve">esign </w:t>
      </w:r>
      <w:r w:rsidR="00387982" w:rsidRPr="00485243">
        <w:rPr>
          <w:rFonts w:ascii="Calibri" w:hAnsi="Calibri" w:cs="Calibri"/>
          <w:sz w:val="24"/>
          <w:szCs w:val="24"/>
        </w:rPr>
        <w:t>simple, connected and secure digital services that people can rely on and find the information and support they need.</w:t>
      </w:r>
    </w:p>
    <w:p w14:paraId="73FFC8DA" w14:textId="127427A2"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e</w:t>
      </w:r>
      <w:r w:rsidRPr="00485243">
        <w:rPr>
          <w:rFonts w:ascii="Calibri" w:hAnsi="Calibri" w:cs="Calibri"/>
          <w:sz w:val="24"/>
          <w:szCs w:val="24"/>
        </w:rPr>
        <w:t xml:space="preserve">nsure </w:t>
      </w:r>
      <w:r w:rsidR="00387982" w:rsidRPr="00485243">
        <w:rPr>
          <w:rFonts w:ascii="Calibri" w:hAnsi="Calibri" w:cs="Calibri"/>
          <w:sz w:val="24"/>
          <w:szCs w:val="24"/>
        </w:rPr>
        <w:t>services are accessible, safe and leave no one behind, designing services that optimise access for all individuals, regardless of the channel, including ensuring help is available for vulnerable customers and customers with complex needs.</w:t>
      </w:r>
    </w:p>
    <w:p w14:paraId="36C95A24" w14:textId="0D211D04"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l</w:t>
      </w:r>
      <w:r w:rsidRPr="00485243">
        <w:rPr>
          <w:rFonts w:ascii="Calibri" w:hAnsi="Calibri" w:cs="Calibri"/>
          <w:sz w:val="24"/>
          <w:szCs w:val="24"/>
        </w:rPr>
        <w:t xml:space="preserve">everage </w:t>
      </w:r>
      <w:r w:rsidR="00387982" w:rsidRPr="00485243">
        <w:rPr>
          <w:rFonts w:ascii="Calibri" w:hAnsi="Calibri" w:cs="Calibri"/>
          <w:sz w:val="24"/>
          <w:szCs w:val="24"/>
        </w:rPr>
        <w:t xml:space="preserve">opportunities for legislative reform to make services easier through the ability </w:t>
      </w:r>
      <w:r w:rsidR="00387982">
        <w:rPr>
          <w:rFonts w:ascii="Calibri" w:hAnsi="Calibri" w:cs="Calibri"/>
          <w:sz w:val="24"/>
          <w:szCs w:val="24"/>
        </w:rPr>
        <w:br/>
      </w:r>
      <w:r w:rsidR="00387982" w:rsidRPr="00485243">
        <w:rPr>
          <w:rFonts w:ascii="Calibri" w:hAnsi="Calibri" w:cs="Calibri"/>
          <w:sz w:val="24"/>
          <w:szCs w:val="24"/>
        </w:rPr>
        <w:t>to collect, use and share customer information to tailor information to customers circumstances and proactively notify customers of services and supports they may be entitled to.</w:t>
      </w:r>
    </w:p>
    <w:p w14:paraId="6593F629" w14:textId="4A62C78B"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a</w:t>
      </w:r>
      <w:r w:rsidRPr="00485243">
        <w:rPr>
          <w:rFonts w:ascii="Calibri" w:hAnsi="Calibri" w:cs="Calibri"/>
          <w:sz w:val="24"/>
          <w:szCs w:val="24"/>
        </w:rPr>
        <w:t xml:space="preserve">dopt </w:t>
      </w:r>
      <w:r w:rsidR="00387982" w:rsidRPr="00485243">
        <w:rPr>
          <w:rFonts w:ascii="Calibri" w:hAnsi="Calibri" w:cs="Calibri"/>
          <w:sz w:val="24"/>
          <w:szCs w:val="24"/>
        </w:rPr>
        <w:t>digital-era practices, including agile and iterative delivery, product- and service-led design approaches, and multidisciplinary teams incorporating both regulatory and digital expertise.</w:t>
      </w:r>
    </w:p>
    <w:p w14:paraId="78576FFD" w14:textId="4A8DF5F7" w:rsidR="00387982" w:rsidRPr="00485243" w:rsidRDefault="00F4066A" w:rsidP="00387982">
      <w:pPr>
        <w:pStyle w:val="ListParagraph"/>
        <w:numPr>
          <w:ilvl w:val="0"/>
          <w:numId w:val="23"/>
        </w:numPr>
        <w:tabs>
          <w:tab w:val="clear" w:pos="720"/>
          <w:tab w:val="num" w:pos="426"/>
        </w:tabs>
        <w:spacing w:before="60" w:line="240" w:lineRule="auto"/>
        <w:ind w:left="425" w:hanging="425"/>
        <w:contextualSpacing w:val="0"/>
        <w:rPr>
          <w:rFonts w:ascii="Calibri" w:hAnsi="Calibri" w:cs="Calibri"/>
          <w:sz w:val="24"/>
          <w:szCs w:val="24"/>
        </w:rPr>
      </w:pPr>
      <w:r>
        <w:rPr>
          <w:rFonts w:ascii="Calibri" w:hAnsi="Calibri" w:cs="Calibri"/>
          <w:sz w:val="24"/>
          <w:szCs w:val="24"/>
        </w:rPr>
        <w:t>c</w:t>
      </w:r>
      <w:r w:rsidRPr="00485243">
        <w:rPr>
          <w:rFonts w:ascii="Calibri" w:hAnsi="Calibri" w:cs="Calibri"/>
          <w:sz w:val="24"/>
          <w:szCs w:val="24"/>
        </w:rPr>
        <w:t xml:space="preserve">onsult </w:t>
      </w:r>
      <w:r w:rsidR="00387982" w:rsidRPr="00485243">
        <w:rPr>
          <w:rFonts w:ascii="Calibri" w:hAnsi="Calibri" w:cs="Calibri"/>
          <w:sz w:val="24"/>
          <w:szCs w:val="24"/>
        </w:rPr>
        <w:t>with the Independent Advisory Board on digital and non-digital strategies, initiatives and projects</w:t>
      </w:r>
      <w:r>
        <w:rPr>
          <w:rFonts w:ascii="Calibri" w:hAnsi="Calibri" w:cs="Calibri"/>
          <w:sz w:val="24"/>
          <w:szCs w:val="24"/>
        </w:rPr>
        <w:t>,</w:t>
      </w:r>
      <w:r w:rsidR="00387982" w:rsidRPr="00485243">
        <w:rPr>
          <w:rFonts w:ascii="Calibri" w:hAnsi="Calibri" w:cs="Calibri"/>
          <w:sz w:val="24"/>
          <w:szCs w:val="24"/>
        </w:rPr>
        <w:t xml:space="preserve"> to ensure government services delivery is ethical, upholds human rights and is of value to citizens and the Australian economy.</w:t>
      </w:r>
    </w:p>
    <w:p w14:paraId="4D7028BB" w14:textId="77777777" w:rsidR="00387982" w:rsidRPr="00485243" w:rsidRDefault="00387982" w:rsidP="00387982">
      <w:pPr>
        <w:pStyle w:val="Heading3"/>
      </w:pPr>
      <w:r w:rsidRPr="00485243">
        <w:t xml:space="preserve">6. Continuously improved and outcomes-focused </w:t>
      </w:r>
    </w:p>
    <w:p w14:paraId="62D77675" w14:textId="4321CFBC" w:rsidR="00387982" w:rsidRPr="00485243" w:rsidRDefault="00387982" w:rsidP="00387982">
      <w:pPr>
        <w:rPr>
          <w:rFonts w:ascii="Calibri" w:hAnsi="Calibri" w:cs="Calibri"/>
          <w:sz w:val="24"/>
          <w:szCs w:val="24"/>
        </w:rPr>
      </w:pPr>
      <w:r w:rsidRPr="00485243">
        <w:rPr>
          <w:rFonts w:ascii="Calibri" w:hAnsi="Calibri" w:cs="Calibri"/>
          <w:sz w:val="24"/>
          <w:szCs w:val="24"/>
        </w:rPr>
        <w:t xml:space="preserve">The </w:t>
      </w:r>
      <w:r w:rsidR="00F4066A">
        <w:rPr>
          <w:rFonts w:ascii="Calibri" w:hAnsi="Calibri" w:cs="Calibri"/>
          <w:sz w:val="24"/>
          <w:szCs w:val="24"/>
        </w:rPr>
        <w:t>a</w:t>
      </w:r>
      <w:r w:rsidRPr="00485243">
        <w:rPr>
          <w:rFonts w:ascii="Calibri" w:hAnsi="Calibri" w:cs="Calibri"/>
          <w:sz w:val="24"/>
          <w:szCs w:val="24"/>
        </w:rPr>
        <w:t>gency will:</w:t>
      </w:r>
    </w:p>
    <w:p w14:paraId="7EE84F40" w14:textId="032B3252"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i</w:t>
      </w:r>
      <w:r w:rsidR="00387982" w:rsidRPr="00485243">
        <w:rPr>
          <w:rFonts w:ascii="Calibri" w:hAnsi="Calibri" w:cs="Calibri"/>
          <w:sz w:val="24"/>
          <w:szCs w:val="24"/>
        </w:rPr>
        <w:t xml:space="preserve">ncorporate feedback from customers, peak bodies and other Commonwealth agencies </w:t>
      </w:r>
      <w:r w:rsidR="00387982">
        <w:rPr>
          <w:rFonts w:ascii="Calibri" w:hAnsi="Calibri" w:cs="Calibri"/>
          <w:sz w:val="24"/>
          <w:szCs w:val="24"/>
        </w:rPr>
        <w:br/>
      </w:r>
      <w:r w:rsidR="00387982" w:rsidRPr="00485243">
        <w:rPr>
          <w:rFonts w:ascii="Calibri" w:hAnsi="Calibri" w:cs="Calibri"/>
          <w:sz w:val="24"/>
          <w:szCs w:val="24"/>
        </w:rPr>
        <w:t>into the planning, design and evaluation of regulatory functions, and where appropriate seek opportunities for co-design of services.</w:t>
      </w:r>
    </w:p>
    <w:p w14:paraId="313547E8" w14:textId="2B363128" w:rsidR="00387982" w:rsidRPr="00485243" w:rsidRDefault="00F4066A" w:rsidP="00387982">
      <w:pPr>
        <w:pStyle w:val="ListParagraph"/>
        <w:numPr>
          <w:ilvl w:val="0"/>
          <w:numId w:val="23"/>
        </w:numPr>
        <w:tabs>
          <w:tab w:val="clear" w:pos="720"/>
          <w:tab w:val="num" w:pos="426"/>
        </w:tabs>
        <w:spacing w:before="60" w:after="60" w:line="240" w:lineRule="auto"/>
        <w:ind w:left="425" w:hanging="425"/>
        <w:contextualSpacing w:val="0"/>
        <w:rPr>
          <w:rFonts w:ascii="Calibri" w:hAnsi="Calibri" w:cs="Calibri"/>
          <w:sz w:val="24"/>
          <w:szCs w:val="24"/>
        </w:rPr>
      </w:pPr>
      <w:r>
        <w:rPr>
          <w:rFonts w:ascii="Calibri" w:hAnsi="Calibri" w:cs="Calibri"/>
          <w:sz w:val="24"/>
          <w:szCs w:val="24"/>
        </w:rPr>
        <w:t>m</w:t>
      </w:r>
      <w:r w:rsidRPr="00485243">
        <w:rPr>
          <w:rFonts w:ascii="Calibri" w:hAnsi="Calibri" w:cs="Calibri"/>
          <w:sz w:val="24"/>
          <w:szCs w:val="24"/>
        </w:rPr>
        <w:t xml:space="preserve">aintain </w:t>
      </w:r>
      <w:r w:rsidR="00387982" w:rsidRPr="00485243">
        <w:rPr>
          <w:rFonts w:ascii="Calibri" w:hAnsi="Calibri" w:cs="Calibri"/>
          <w:sz w:val="24"/>
          <w:szCs w:val="24"/>
        </w:rPr>
        <w:t>and extend existing measures for collecting data</w:t>
      </w:r>
      <w:r>
        <w:rPr>
          <w:rFonts w:ascii="Calibri" w:hAnsi="Calibri" w:cs="Calibri"/>
          <w:sz w:val="24"/>
          <w:szCs w:val="24"/>
        </w:rPr>
        <w:t>,</w:t>
      </w:r>
      <w:r w:rsidR="00387982" w:rsidRPr="00485243">
        <w:rPr>
          <w:rFonts w:ascii="Calibri" w:hAnsi="Calibri" w:cs="Calibri"/>
          <w:sz w:val="24"/>
          <w:szCs w:val="24"/>
        </w:rPr>
        <w:t xml:space="preserve"> to support regular review of the effectiveness of regulatory design in achieving the intended outcomes. </w:t>
      </w:r>
    </w:p>
    <w:p w14:paraId="64145A48" w14:textId="59089C4E" w:rsidR="00387982" w:rsidRPr="00485243" w:rsidRDefault="00F4066A" w:rsidP="00387982">
      <w:pPr>
        <w:pStyle w:val="ListParagraph"/>
        <w:numPr>
          <w:ilvl w:val="0"/>
          <w:numId w:val="23"/>
        </w:numPr>
        <w:tabs>
          <w:tab w:val="clear" w:pos="720"/>
          <w:tab w:val="num" w:pos="426"/>
        </w:tabs>
        <w:spacing w:before="60" w:line="240" w:lineRule="auto"/>
        <w:ind w:left="425" w:hanging="425"/>
        <w:contextualSpacing w:val="0"/>
        <w:rPr>
          <w:rFonts w:ascii="Calibri" w:hAnsi="Calibri" w:cs="Calibri"/>
          <w:sz w:val="24"/>
          <w:szCs w:val="24"/>
        </w:rPr>
      </w:pPr>
      <w:r>
        <w:rPr>
          <w:rFonts w:ascii="Calibri" w:hAnsi="Calibri" w:cs="Calibri"/>
          <w:sz w:val="24"/>
          <w:szCs w:val="24"/>
        </w:rPr>
        <w:t>a</w:t>
      </w:r>
      <w:r w:rsidRPr="00485243">
        <w:rPr>
          <w:rFonts w:ascii="Calibri" w:hAnsi="Calibri" w:cs="Calibri"/>
          <w:sz w:val="24"/>
          <w:szCs w:val="24"/>
        </w:rPr>
        <w:t xml:space="preserve">dopt </w:t>
      </w:r>
      <w:r w:rsidR="00387982" w:rsidRPr="00485243">
        <w:rPr>
          <w:rFonts w:ascii="Calibri" w:hAnsi="Calibri" w:cs="Calibri"/>
          <w:sz w:val="24"/>
          <w:szCs w:val="24"/>
        </w:rPr>
        <w:t>a whole-of agency and inter-agency perspective to monitor, report and improve regulatory performance, capability and culture.</w:t>
      </w:r>
    </w:p>
    <w:p w14:paraId="7BD87589" w14:textId="40C0F2FE" w:rsidR="00387982" w:rsidRPr="00485243" w:rsidRDefault="00387982" w:rsidP="00387982">
      <w:pPr>
        <w:pStyle w:val="Heading2"/>
      </w:pPr>
      <w:r w:rsidRPr="00485243">
        <w:t xml:space="preserve">Relationship with the </w:t>
      </w:r>
      <w:r w:rsidR="00F4066A">
        <w:t>m</w:t>
      </w:r>
      <w:r w:rsidR="00F4066A" w:rsidRPr="00485243">
        <w:t xml:space="preserve">inister </w:t>
      </w:r>
      <w:r w:rsidRPr="00485243">
        <w:t xml:space="preserve">and </w:t>
      </w:r>
      <w:r w:rsidR="00F4066A">
        <w:t>p</w:t>
      </w:r>
      <w:r w:rsidR="00F4066A" w:rsidRPr="00485243">
        <w:t>ortfolio</w:t>
      </w:r>
    </w:p>
    <w:p w14:paraId="3A2212DD" w14:textId="6B92E493" w:rsidR="00387982" w:rsidRPr="005235FF" w:rsidRDefault="00387982" w:rsidP="00387982">
      <w:pPr>
        <w:spacing w:line="240" w:lineRule="auto"/>
        <w:rPr>
          <w:rFonts w:ascii="Calibri" w:hAnsi="Calibri" w:cs="Calibri"/>
          <w:sz w:val="24"/>
          <w:szCs w:val="24"/>
        </w:rPr>
      </w:pPr>
      <w:r w:rsidRPr="00485243">
        <w:rPr>
          <w:rFonts w:ascii="Calibri" w:hAnsi="Calibri" w:cs="Calibri"/>
          <w:sz w:val="24"/>
          <w:szCs w:val="24"/>
        </w:rPr>
        <w:t xml:space="preserve">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 xml:space="preserve">recognises its role in supporting the </w:t>
      </w:r>
      <w:r w:rsidR="00F4066A">
        <w:rPr>
          <w:rFonts w:ascii="Calibri" w:hAnsi="Calibri" w:cs="Calibri"/>
          <w:sz w:val="24"/>
          <w:szCs w:val="24"/>
        </w:rPr>
        <w:t>m</w:t>
      </w:r>
      <w:r w:rsidR="00F4066A" w:rsidRPr="00485243">
        <w:rPr>
          <w:rFonts w:ascii="Calibri" w:hAnsi="Calibri" w:cs="Calibri"/>
          <w:sz w:val="24"/>
          <w:szCs w:val="24"/>
        </w:rPr>
        <w:t>inister</w:t>
      </w:r>
      <w:r w:rsidRPr="00485243">
        <w:rPr>
          <w:rFonts w:ascii="Calibri" w:hAnsi="Calibri" w:cs="Calibri"/>
          <w:sz w:val="24"/>
          <w:szCs w:val="24"/>
        </w:rPr>
        <w:t xml:space="preserve">, the </w:t>
      </w:r>
      <w:r w:rsidR="00F4066A">
        <w:rPr>
          <w:rFonts w:ascii="Calibri" w:hAnsi="Calibri" w:cs="Calibri"/>
          <w:sz w:val="24"/>
          <w:szCs w:val="24"/>
        </w:rPr>
        <w:t>g</w:t>
      </w:r>
      <w:r w:rsidR="00F4066A" w:rsidRPr="00485243">
        <w:rPr>
          <w:rFonts w:ascii="Calibri" w:hAnsi="Calibri" w:cs="Calibri"/>
          <w:sz w:val="24"/>
          <w:szCs w:val="24"/>
        </w:rPr>
        <w:t xml:space="preserve">overnment </w:t>
      </w:r>
      <w:r w:rsidRPr="00485243">
        <w:rPr>
          <w:rFonts w:ascii="Calibri" w:hAnsi="Calibri" w:cs="Calibri"/>
          <w:sz w:val="24"/>
          <w:szCs w:val="24"/>
        </w:rPr>
        <w:t xml:space="preserve">and the </w:t>
      </w:r>
      <w:r w:rsidR="00F4066A">
        <w:rPr>
          <w:rFonts w:ascii="Calibri" w:hAnsi="Calibri" w:cs="Calibri"/>
          <w:sz w:val="24"/>
          <w:szCs w:val="24"/>
        </w:rPr>
        <w:t>s</w:t>
      </w:r>
      <w:r w:rsidR="00F4066A" w:rsidRPr="00485243">
        <w:rPr>
          <w:rFonts w:ascii="Calibri" w:hAnsi="Calibri" w:cs="Calibri"/>
          <w:sz w:val="24"/>
          <w:szCs w:val="24"/>
        </w:rPr>
        <w:t xml:space="preserve">ocial </w:t>
      </w:r>
      <w:r w:rsidR="00F4066A">
        <w:rPr>
          <w:rFonts w:ascii="Calibri" w:hAnsi="Calibri" w:cs="Calibri"/>
          <w:sz w:val="24"/>
          <w:szCs w:val="24"/>
        </w:rPr>
        <w:t>s</w:t>
      </w:r>
      <w:r w:rsidR="00F4066A" w:rsidRPr="00485243">
        <w:rPr>
          <w:rFonts w:ascii="Calibri" w:hAnsi="Calibri" w:cs="Calibri"/>
          <w:sz w:val="24"/>
          <w:szCs w:val="24"/>
        </w:rPr>
        <w:t xml:space="preserve">ervices </w:t>
      </w:r>
      <w:r w:rsidRPr="00485243">
        <w:rPr>
          <w:rFonts w:ascii="Calibri" w:hAnsi="Calibri" w:cs="Calibri"/>
          <w:sz w:val="24"/>
          <w:szCs w:val="24"/>
        </w:rPr>
        <w:t xml:space="preserve">portfolio in meeting their regulatory objectives. 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 xml:space="preserve">will continue to perform this role through timely and transparent engagement with the </w:t>
      </w:r>
      <w:r w:rsidR="00F4066A">
        <w:rPr>
          <w:rFonts w:ascii="Calibri" w:hAnsi="Calibri" w:cs="Calibri"/>
          <w:sz w:val="24"/>
          <w:szCs w:val="24"/>
        </w:rPr>
        <w:t>m</w:t>
      </w:r>
      <w:r w:rsidR="00F4066A" w:rsidRPr="00485243">
        <w:rPr>
          <w:rFonts w:ascii="Calibri" w:hAnsi="Calibri" w:cs="Calibri"/>
          <w:sz w:val="24"/>
          <w:szCs w:val="24"/>
        </w:rPr>
        <w:t>inister</w:t>
      </w:r>
      <w:r w:rsidR="00F4066A">
        <w:rPr>
          <w:rFonts w:ascii="Calibri" w:hAnsi="Calibri" w:cs="Calibri"/>
          <w:sz w:val="24"/>
          <w:szCs w:val="24"/>
        </w:rPr>
        <w:t>,</w:t>
      </w:r>
      <w:r w:rsidR="00F4066A" w:rsidRPr="00485243">
        <w:rPr>
          <w:rFonts w:ascii="Calibri" w:hAnsi="Calibri" w:cs="Calibri"/>
          <w:sz w:val="24"/>
          <w:szCs w:val="24"/>
        </w:rPr>
        <w:t xml:space="preserve"> </w:t>
      </w:r>
      <w:r w:rsidRPr="00485243">
        <w:rPr>
          <w:rFonts w:ascii="Calibri" w:hAnsi="Calibri" w:cs="Calibri"/>
          <w:sz w:val="24"/>
          <w:szCs w:val="24"/>
        </w:rPr>
        <w:t xml:space="preserve">to ensure the </w:t>
      </w:r>
      <w:r w:rsidR="00F4066A">
        <w:rPr>
          <w:rFonts w:ascii="Calibri" w:hAnsi="Calibri" w:cs="Calibri"/>
          <w:sz w:val="24"/>
          <w:szCs w:val="24"/>
        </w:rPr>
        <w:t>m</w:t>
      </w:r>
      <w:r w:rsidR="00F4066A" w:rsidRPr="00485243">
        <w:rPr>
          <w:rFonts w:ascii="Calibri" w:hAnsi="Calibri" w:cs="Calibri"/>
          <w:sz w:val="24"/>
          <w:szCs w:val="24"/>
        </w:rPr>
        <w:t xml:space="preserve">inister </w:t>
      </w:r>
      <w:r w:rsidRPr="00485243">
        <w:rPr>
          <w:rFonts w:ascii="Calibri" w:hAnsi="Calibri" w:cs="Calibri"/>
          <w:sz w:val="24"/>
          <w:szCs w:val="24"/>
        </w:rPr>
        <w:t xml:space="preserve">is kept </w:t>
      </w:r>
      <w:r w:rsidRPr="00485243">
        <w:rPr>
          <w:rFonts w:ascii="Calibri" w:hAnsi="Calibri" w:cs="Calibri"/>
          <w:sz w:val="24"/>
          <w:szCs w:val="24"/>
        </w:rPr>
        <w:lastRenderedPageBreak/>
        <w:t xml:space="preserve">informed of regulatory performance and developments. 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will also engage across the portfolio to provide guidance and support where needed to support regulatory functions.</w:t>
      </w:r>
    </w:p>
    <w:p w14:paraId="483A7922" w14:textId="77777777" w:rsidR="00387982" w:rsidRPr="00485243" w:rsidRDefault="00387982" w:rsidP="00387982">
      <w:pPr>
        <w:pStyle w:val="Heading2"/>
      </w:pPr>
      <w:r w:rsidRPr="00485243">
        <w:t>Conclusion</w:t>
      </w:r>
    </w:p>
    <w:p w14:paraId="0645E6D2" w14:textId="2D266B5A" w:rsidR="00387982" w:rsidRPr="00485243" w:rsidRDefault="00387982" w:rsidP="00387982">
      <w:pPr>
        <w:spacing w:line="240" w:lineRule="auto"/>
        <w:rPr>
          <w:rFonts w:ascii="Calibri" w:hAnsi="Calibri" w:cs="Calibri"/>
          <w:sz w:val="24"/>
          <w:szCs w:val="24"/>
        </w:rPr>
      </w:pPr>
      <w:r>
        <w:rPr>
          <w:rFonts w:ascii="Calibri" w:hAnsi="Calibri" w:cs="Calibri"/>
          <w:sz w:val="24"/>
          <w:szCs w:val="24"/>
        </w:rPr>
        <w:t xml:space="preserve">The </w:t>
      </w:r>
      <w:r w:rsidR="00F4066A">
        <w:rPr>
          <w:rFonts w:ascii="Calibri" w:hAnsi="Calibri" w:cs="Calibri"/>
          <w:sz w:val="24"/>
          <w:szCs w:val="24"/>
        </w:rPr>
        <w:t>agency</w:t>
      </w:r>
      <w:r w:rsidR="00F4066A" w:rsidRPr="00485243">
        <w:rPr>
          <w:rFonts w:ascii="Calibri" w:hAnsi="Calibri" w:cs="Calibri"/>
          <w:sz w:val="24"/>
          <w:szCs w:val="24"/>
        </w:rPr>
        <w:t xml:space="preserve">’s </w:t>
      </w:r>
      <w:r w:rsidRPr="00485243">
        <w:rPr>
          <w:rFonts w:ascii="Calibri" w:hAnsi="Calibri" w:cs="Calibri"/>
          <w:sz w:val="24"/>
          <w:szCs w:val="24"/>
        </w:rPr>
        <w:t>regulatory performance is a key enabler of its vision to deliver services that are simple, helpful, respectful and transparent.</w:t>
      </w:r>
    </w:p>
    <w:p w14:paraId="15148251" w14:textId="45B2AED7" w:rsidR="00C65032" w:rsidRDefault="00387982" w:rsidP="00387982">
      <w:pPr>
        <w:rPr>
          <w:b/>
          <w:bCs/>
        </w:rPr>
      </w:pPr>
      <w:r w:rsidRPr="00485243">
        <w:rPr>
          <w:rFonts w:ascii="Calibri" w:hAnsi="Calibri" w:cs="Calibri"/>
          <w:sz w:val="24"/>
          <w:szCs w:val="24"/>
        </w:rPr>
        <w:t xml:space="preserve">The </w:t>
      </w:r>
      <w:r w:rsidR="00F4066A">
        <w:rPr>
          <w:rFonts w:ascii="Calibri" w:hAnsi="Calibri" w:cs="Calibri"/>
          <w:sz w:val="24"/>
          <w:szCs w:val="24"/>
        </w:rPr>
        <w:t>a</w:t>
      </w:r>
      <w:r w:rsidR="00F4066A" w:rsidRPr="00485243">
        <w:rPr>
          <w:rFonts w:ascii="Calibri" w:hAnsi="Calibri" w:cs="Calibri"/>
          <w:sz w:val="24"/>
          <w:szCs w:val="24"/>
        </w:rPr>
        <w:t xml:space="preserve">gency </w:t>
      </w:r>
      <w:r w:rsidRPr="00485243">
        <w:rPr>
          <w:rFonts w:ascii="Calibri" w:hAnsi="Calibri" w:cs="Calibri"/>
          <w:sz w:val="24"/>
          <w:szCs w:val="24"/>
        </w:rPr>
        <w:t>will continue to improve services, with a focus on providing customers with a seamless experience that includes high-quality, simplified and efficient access to the services and support they need. This will support the Australian Government’s vision of modernising regulation and improving regulator performance through data, innovation, and stewardship to ensure regulation is fit-for-purpose in a digital era, protects against regulatory failures and improves productivity</w:t>
      </w:r>
      <w:r w:rsidR="00F4066A">
        <w:rPr>
          <w:rFonts w:ascii="Calibri" w:hAnsi="Calibri" w:cs="Calibri"/>
          <w:sz w:val="24"/>
          <w:szCs w:val="24"/>
        </w:rPr>
        <w:t>.</w:t>
      </w:r>
    </w:p>
    <w:sectPr w:rsidR="00C65032" w:rsidSect="002544D8">
      <w:headerReference w:type="default" r:id="rId11"/>
      <w:footerReference w:type="default" r:id="rId12"/>
      <w:headerReference w:type="first" r:id="rId13"/>
      <w:footerReference w:type="first" r:id="rId14"/>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39F59" w14:textId="77777777" w:rsidR="00AA2C7B" w:rsidRDefault="00AA2C7B">
      <w:r>
        <w:separator/>
      </w:r>
    </w:p>
  </w:endnote>
  <w:endnote w:type="continuationSeparator" w:id="0">
    <w:p w14:paraId="3831E06B" w14:textId="77777777" w:rsidR="00AA2C7B" w:rsidRDefault="00AA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232D" w14:textId="7C9C4F66" w:rsidR="007B4F51" w:rsidRPr="00C65032" w:rsidRDefault="00C65032" w:rsidP="00C65032">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51BF" w14:textId="6234865D" w:rsidR="007B4F51" w:rsidRPr="00C65032" w:rsidRDefault="00C65032" w:rsidP="00C65032">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E23C2" w14:textId="77777777" w:rsidR="00AA2C7B" w:rsidRDefault="00AA2C7B">
      <w:r>
        <w:separator/>
      </w:r>
    </w:p>
  </w:footnote>
  <w:footnote w:type="continuationSeparator" w:id="0">
    <w:p w14:paraId="76A91C76" w14:textId="77777777" w:rsidR="00AA2C7B" w:rsidRDefault="00AA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8128" w14:textId="591747F1" w:rsidR="00C65032" w:rsidRPr="00415BA9" w:rsidRDefault="00387982" w:rsidP="00C65032">
    <w:pPr>
      <w:pStyle w:val="BodyText"/>
      <w:pBdr>
        <w:bottom w:val="single" w:sz="4" w:space="3" w:color="auto"/>
      </w:pBdr>
    </w:pPr>
    <w:bookmarkStart w:id="1" w:name="_Hlk181086858"/>
    <w:bookmarkStart w:id="2" w:name="_Hlk181086859"/>
    <w:r>
      <w:t>Services Australia Statement of Intent 2024–25</w:t>
    </w:r>
    <w:bookmarkEnd w:id="1"/>
    <w:bookmarkEnd w:id="2"/>
  </w:p>
  <w:p w14:paraId="7AB79FA3" w14:textId="77777777" w:rsidR="00BF0990" w:rsidRPr="00C65032" w:rsidRDefault="00BF0990" w:rsidP="00C65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811D" w14:textId="77777777" w:rsidR="007B4F51" w:rsidRDefault="00244CA1" w:rsidP="0095568B">
    <w:pPr>
      <w:pStyle w:val="Header"/>
      <w:ind w:left="-142"/>
    </w:pPr>
    <w:r>
      <w:rPr>
        <w:noProof/>
      </w:rPr>
      <w:drawing>
        <wp:inline distT="0" distB="0" distL="0" distR="0" wp14:anchorId="13822908" wp14:editId="036CE5E9">
          <wp:extent cx="2236484" cy="610716"/>
          <wp:effectExtent l="0" t="0" r="0" b="0"/>
          <wp:docPr id="1150218628"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0" descr="Australian Government Services Australia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CD05AE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3CAC17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794B95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64C27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73CE7"/>
    <w:multiLevelType w:val="hybridMultilevel"/>
    <w:tmpl w:val="79286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A92096"/>
    <w:multiLevelType w:val="multilevel"/>
    <w:tmpl w:val="7A7458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D060DE"/>
    <w:multiLevelType w:val="hybridMultilevel"/>
    <w:tmpl w:val="7FE88DAA"/>
    <w:lvl w:ilvl="0" w:tplc="0C090001">
      <w:start w:val="1"/>
      <w:numFmt w:val="bullet"/>
      <w:lvlText w:val=""/>
      <w:lvlJc w:val="left"/>
      <w:pPr>
        <w:ind w:left="1060" w:hanging="360"/>
      </w:pPr>
      <w:rPr>
        <w:rFonts w:ascii="Symbol" w:hAnsi="Symbol"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3"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0105430">
    <w:abstractNumId w:val="18"/>
  </w:num>
  <w:num w:numId="2" w16cid:durableId="54861649">
    <w:abstractNumId w:val="5"/>
  </w:num>
  <w:num w:numId="3" w16cid:durableId="763303470">
    <w:abstractNumId w:val="15"/>
  </w:num>
  <w:num w:numId="4" w16cid:durableId="1095901808">
    <w:abstractNumId w:val="6"/>
  </w:num>
  <w:num w:numId="5" w16cid:durableId="1502701863">
    <w:abstractNumId w:val="14"/>
  </w:num>
  <w:num w:numId="6" w16cid:durableId="623775699">
    <w:abstractNumId w:val="8"/>
  </w:num>
  <w:num w:numId="7" w16cid:durableId="1154176510">
    <w:abstractNumId w:val="13"/>
  </w:num>
  <w:num w:numId="8" w16cid:durableId="445584599">
    <w:abstractNumId w:val="17"/>
  </w:num>
  <w:num w:numId="9" w16cid:durableId="1305771394">
    <w:abstractNumId w:val="9"/>
  </w:num>
  <w:num w:numId="10" w16cid:durableId="1944997895">
    <w:abstractNumId w:val="11"/>
  </w:num>
  <w:num w:numId="11" w16cid:durableId="1895726644">
    <w:abstractNumId w:val="4"/>
  </w:num>
  <w:num w:numId="12" w16cid:durableId="2117556505">
    <w:abstractNumId w:val="3"/>
  </w:num>
  <w:num w:numId="13" w16cid:durableId="200172076">
    <w:abstractNumId w:val="14"/>
  </w:num>
  <w:num w:numId="14" w16cid:durableId="715393514">
    <w:abstractNumId w:val="1"/>
  </w:num>
  <w:num w:numId="15" w16cid:durableId="292713384">
    <w:abstractNumId w:val="8"/>
  </w:num>
  <w:num w:numId="16" w16cid:durableId="1791624181">
    <w:abstractNumId w:val="2"/>
  </w:num>
  <w:num w:numId="17" w16cid:durableId="2005663950">
    <w:abstractNumId w:val="13"/>
  </w:num>
  <w:num w:numId="18" w16cid:durableId="234358802">
    <w:abstractNumId w:val="0"/>
  </w:num>
  <w:num w:numId="19" w16cid:durableId="2038654332">
    <w:abstractNumId w:val="17"/>
  </w:num>
  <w:num w:numId="20" w16cid:durableId="448471936">
    <w:abstractNumId w:val="16"/>
  </w:num>
  <w:num w:numId="21" w16cid:durableId="1668899484">
    <w:abstractNumId w:val="12"/>
  </w:num>
  <w:num w:numId="22" w16cid:durableId="123550403">
    <w:abstractNumId w:val="13"/>
    <w:lvlOverride w:ilvl="0">
      <w:startOverride w:val="1"/>
    </w:lvlOverride>
  </w:num>
  <w:num w:numId="23" w16cid:durableId="1666856954">
    <w:abstractNumId w:val="10"/>
  </w:num>
  <w:num w:numId="24" w16cid:durableId="169948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82"/>
    <w:rsid w:val="00026916"/>
    <w:rsid w:val="00041A39"/>
    <w:rsid w:val="00062997"/>
    <w:rsid w:val="0007798F"/>
    <w:rsid w:val="00082A25"/>
    <w:rsid w:val="000835AA"/>
    <w:rsid w:val="00086EA1"/>
    <w:rsid w:val="000C6C57"/>
    <w:rsid w:val="000D0E18"/>
    <w:rsid w:val="000E5887"/>
    <w:rsid w:val="000F770A"/>
    <w:rsid w:val="00112F82"/>
    <w:rsid w:val="001240E8"/>
    <w:rsid w:val="001A1B66"/>
    <w:rsid w:val="001A4EB0"/>
    <w:rsid w:val="001D1F61"/>
    <w:rsid w:val="001D4174"/>
    <w:rsid w:val="001E6CFA"/>
    <w:rsid w:val="001F7324"/>
    <w:rsid w:val="00244CA1"/>
    <w:rsid w:val="002544D8"/>
    <w:rsid w:val="00284ADE"/>
    <w:rsid w:val="00290FA5"/>
    <w:rsid w:val="002B70C0"/>
    <w:rsid w:val="002C19E4"/>
    <w:rsid w:val="002E23CB"/>
    <w:rsid w:val="00300015"/>
    <w:rsid w:val="00360E34"/>
    <w:rsid w:val="00361ECB"/>
    <w:rsid w:val="0038253F"/>
    <w:rsid w:val="00387982"/>
    <w:rsid w:val="003A012C"/>
    <w:rsid w:val="003A53A0"/>
    <w:rsid w:val="003B1E78"/>
    <w:rsid w:val="003B453F"/>
    <w:rsid w:val="003F72E8"/>
    <w:rsid w:val="00414BF8"/>
    <w:rsid w:val="0041526C"/>
    <w:rsid w:val="0041549A"/>
    <w:rsid w:val="00415BA9"/>
    <w:rsid w:val="004203AA"/>
    <w:rsid w:val="00426CFE"/>
    <w:rsid w:val="00432428"/>
    <w:rsid w:val="004325EB"/>
    <w:rsid w:val="004722D7"/>
    <w:rsid w:val="00494CF1"/>
    <w:rsid w:val="004E09C0"/>
    <w:rsid w:val="004E0DA8"/>
    <w:rsid w:val="004E6060"/>
    <w:rsid w:val="00504AA8"/>
    <w:rsid w:val="00506052"/>
    <w:rsid w:val="00507EB2"/>
    <w:rsid w:val="00516D40"/>
    <w:rsid w:val="00533483"/>
    <w:rsid w:val="00571396"/>
    <w:rsid w:val="00571C3F"/>
    <w:rsid w:val="00573C0E"/>
    <w:rsid w:val="005C738D"/>
    <w:rsid w:val="005C7D3C"/>
    <w:rsid w:val="0060487D"/>
    <w:rsid w:val="00622896"/>
    <w:rsid w:val="0067371F"/>
    <w:rsid w:val="0067669C"/>
    <w:rsid w:val="006825DB"/>
    <w:rsid w:val="00685C7C"/>
    <w:rsid w:val="006964A3"/>
    <w:rsid w:val="00715039"/>
    <w:rsid w:val="00756927"/>
    <w:rsid w:val="00772C06"/>
    <w:rsid w:val="007B4F51"/>
    <w:rsid w:val="00801D1A"/>
    <w:rsid w:val="0083510C"/>
    <w:rsid w:val="00845295"/>
    <w:rsid w:val="008457BC"/>
    <w:rsid w:val="00863A82"/>
    <w:rsid w:val="00873080"/>
    <w:rsid w:val="0087534C"/>
    <w:rsid w:val="008968B7"/>
    <w:rsid w:val="00907D7A"/>
    <w:rsid w:val="009174A0"/>
    <w:rsid w:val="00923854"/>
    <w:rsid w:val="00932AA3"/>
    <w:rsid w:val="0095568B"/>
    <w:rsid w:val="009635D0"/>
    <w:rsid w:val="00965631"/>
    <w:rsid w:val="0097065D"/>
    <w:rsid w:val="00985F92"/>
    <w:rsid w:val="009905A7"/>
    <w:rsid w:val="00995023"/>
    <w:rsid w:val="009963AD"/>
    <w:rsid w:val="009A099C"/>
    <w:rsid w:val="009B4363"/>
    <w:rsid w:val="009E1E1B"/>
    <w:rsid w:val="009E3B3A"/>
    <w:rsid w:val="00A14F91"/>
    <w:rsid w:val="00A16C8F"/>
    <w:rsid w:val="00A2357A"/>
    <w:rsid w:val="00A3536B"/>
    <w:rsid w:val="00A52AE3"/>
    <w:rsid w:val="00A5384C"/>
    <w:rsid w:val="00A6356F"/>
    <w:rsid w:val="00A848C2"/>
    <w:rsid w:val="00A95E61"/>
    <w:rsid w:val="00AA2C7B"/>
    <w:rsid w:val="00AB66E1"/>
    <w:rsid w:val="00AC34FD"/>
    <w:rsid w:val="00AC3CE1"/>
    <w:rsid w:val="00AE0688"/>
    <w:rsid w:val="00AE1125"/>
    <w:rsid w:val="00AF4424"/>
    <w:rsid w:val="00B362B6"/>
    <w:rsid w:val="00B46C32"/>
    <w:rsid w:val="00B86E2B"/>
    <w:rsid w:val="00B9008C"/>
    <w:rsid w:val="00BB7DE5"/>
    <w:rsid w:val="00BF0990"/>
    <w:rsid w:val="00C021DC"/>
    <w:rsid w:val="00C025D8"/>
    <w:rsid w:val="00C049ED"/>
    <w:rsid w:val="00C15DA5"/>
    <w:rsid w:val="00C207C1"/>
    <w:rsid w:val="00C27EAD"/>
    <w:rsid w:val="00C46EFA"/>
    <w:rsid w:val="00C60743"/>
    <w:rsid w:val="00C65032"/>
    <w:rsid w:val="00C74B43"/>
    <w:rsid w:val="00C87853"/>
    <w:rsid w:val="00CB4F98"/>
    <w:rsid w:val="00CE56A0"/>
    <w:rsid w:val="00D13062"/>
    <w:rsid w:val="00D14B82"/>
    <w:rsid w:val="00D15B45"/>
    <w:rsid w:val="00D220CD"/>
    <w:rsid w:val="00D438FF"/>
    <w:rsid w:val="00D95C6D"/>
    <w:rsid w:val="00DB7DD8"/>
    <w:rsid w:val="00DD49A2"/>
    <w:rsid w:val="00DD517B"/>
    <w:rsid w:val="00DE29B5"/>
    <w:rsid w:val="00E076AE"/>
    <w:rsid w:val="00E27214"/>
    <w:rsid w:val="00E277F4"/>
    <w:rsid w:val="00E31B70"/>
    <w:rsid w:val="00E409B0"/>
    <w:rsid w:val="00E5725A"/>
    <w:rsid w:val="00E63EC2"/>
    <w:rsid w:val="00E768D0"/>
    <w:rsid w:val="00E91438"/>
    <w:rsid w:val="00EA2350"/>
    <w:rsid w:val="00EE78F0"/>
    <w:rsid w:val="00F0139D"/>
    <w:rsid w:val="00F17318"/>
    <w:rsid w:val="00F34E10"/>
    <w:rsid w:val="00F4066A"/>
    <w:rsid w:val="00F5039F"/>
    <w:rsid w:val="00F8091B"/>
    <w:rsid w:val="00F85299"/>
    <w:rsid w:val="00F85641"/>
    <w:rsid w:val="00FA7748"/>
    <w:rsid w:val="00FC3645"/>
    <w:rsid w:val="00FD331B"/>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4041C"/>
  <w15:chartTrackingRefBased/>
  <w15:docId w15:val="{7699143A-5F0F-4295-B0E6-C5240501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qFormat="1"/>
    <w:lsdException w:name="List Number" w:uiPriority="5" w:qFormat="1"/>
    <w:lsdException w:name="List Bullet 2" w:uiPriority="1" w:qFormat="1"/>
    <w:lsdException w:name="List Number 2" w:uiPriority="1" w:qFormat="1"/>
    <w:lsdException w:name="Title" w:uiPriority="8"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98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BodyText"/>
    <w:next w:val="BodyText"/>
    <w:link w:val="Heading1Char"/>
    <w:uiPriority w:val="9"/>
    <w:qFormat/>
    <w:rsid w:val="003B1E78"/>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3B1E78"/>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3B1E7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3B1E7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3B1E78"/>
    <w:pPr>
      <w:keepNext/>
      <w:keepLines/>
      <w:spacing w:before="240" w:after="2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290FA5"/>
    <w:pPr>
      <w:tabs>
        <w:tab w:val="center" w:pos="4153"/>
        <w:tab w:val="right" w:pos="8306"/>
      </w:tabs>
    </w:pPr>
  </w:style>
  <w:style w:type="paragraph" w:styleId="Footer">
    <w:name w:val="footer"/>
    <w:basedOn w:val="BodyText"/>
    <w:link w:val="FooterChar"/>
    <w:uiPriority w:val="99"/>
    <w:rsid w:val="00290FA5"/>
    <w:pPr>
      <w:tabs>
        <w:tab w:val="center" w:pos="4153"/>
        <w:tab w:val="right" w:pos="8306"/>
      </w:tabs>
    </w:pPr>
  </w:style>
  <w:style w:type="paragraph" w:styleId="BodyText">
    <w:name w:val="Body Text"/>
    <w:basedOn w:val="Normal"/>
    <w:link w:val="BodyTextChar"/>
    <w:qFormat/>
    <w:rsid w:val="00506052"/>
    <w:pPr>
      <w:spacing w:after="120"/>
    </w:pPr>
    <w:rPr>
      <w:rFonts w:ascii="Roboto" w:hAnsi="Roboto" w:cs="Arial"/>
      <w:sz w:val="20"/>
    </w:rPr>
  </w:style>
  <w:style w:type="character" w:customStyle="1" w:styleId="BodyTextChar">
    <w:name w:val="Body Text Char"/>
    <w:basedOn w:val="DefaultParagraphFont"/>
    <w:link w:val="BodyText"/>
    <w:rsid w:val="00506052"/>
    <w:rPr>
      <w:rFonts w:ascii="Roboto" w:hAnsi="Roboto" w:cs="Arial"/>
      <w:szCs w:val="22"/>
    </w:rPr>
  </w:style>
  <w:style w:type="character" w:customStyle="1" w:styleId="Heading5Char">
    <w:name w:val="Heading 5 Char"/>
    <w:basedOn w:val="DefaultParagraphFont"/>
    <w:link w:val="Heading5"/>
    <w:uiPriority w:val="9"/>
    <w:rsid w:val="003B1E78"/>
    <w:rPr>
      <w:rFonts w:asciiTheme="majorHAnsi" w:eastAsiaTheme="majorEastAsia" w:hAnsiTheme="majorHAnsi" w:cstheme="majorBidi"/>
      <w:sz w:val="24"/>
      <w:szCs w:val="22"/>
    </w:rPr>
  </w:style>
  <w:style w:type="paragraph" w:styleId="ListBullet">
    <w:name w:val="List Bullet"/>
    <w:basedOn w:val="BodyText"/>
    <w:uiPriority w:val="99"/>
    <w:unhideWhenUsed/>
    <w:qFormat/>
    <w:rsid w:val="00506052"/>
    <w:pPr>
      <w:numPr>
        <w:numId w:val="13"/>
      </w:numPr>
    </w:pPr>
  </w:style>
  <w:style w:type="paragraph" w:styleId="ListBullet2">
    <w:name w:val="List Bullet 2"/>
    <w:basedOn w:val="BodyText"/>
    <w:uiPriority w:val="1"/>
    <w:unhideWhenUsed/>
    <w:qFormat/>
    <w:rsid w:val="00506052"/>
    <w:pPr>
      <w:numPr>
        <w:numId w:val="15"/>
      </w:numPr>
    </w:pPr>
  </w:style>
  <w:style w:type="paragraph" w:styleId="ListNumber">
    <w:name w:val="List Number"/>
    <w:basedOn w:val="BodyText"/>
    <w:uiPriority w:val="5"/>
    <w:unhideWhenUsed/>
    <w:qFormat/>
    <w:rsid w:val="00506052"/>
    <w:pPr>
      <w:numPr>
        <w:numId w:val="17"/>
      </w:numPr>
      <w:ind w:left="284" w:hanging="284"/>
    </w:pPr>
  </w:style>
  <w:style w:type="paragraph" w:styleId="TOC1">
    <w:name w:val="toc 1"/>
    <w:basedOn w:val="Normal"/>
    <w:next w:val="Normal"/>
    <w:autoRedefine/>
    <w:semiHidden/>
    <w:rsid w:val="009E3B3A"/>
    <w:pPr>
      <w:spacing w:after="120"/>
    </w:pPr>
    <w:rPr>
      <w:rFonts w:ascii="Arial" w:hAnsi="Arial"/>
      <w:b/>
    </w:rPr>
  </w:style>
  <w:style w:type="paragraph" w:styleId="TOC2">
    <w:name w:val="toc 2"/>
    <w:basedOn w:val="Normal"/>
    <w:next w:val="Normal"/>
    <w:autoRedefine/>
    <w:semiHidden/>
    <w:rsid w:val="009E3B3A"/>
    <w:pPr>
      <w:spacing w:after="120"/>
      <w:ind w:left="238"/>
    </w:pPr>
    <w:rPr>
      <w:rFonts w:ascii="Arial" w:hAnsi="Arial"/>
    </w:rPr>
  </w:style>
  <w:style w:type="paragraph" w:styleId="TOC3">
    <w:name w:val="toc 3"/>
    <w:basedOn w:val="Normal"/>
    <w:next w:val="Normal"/>
    <w:autoRedefine/>
    <w:semiHidden/>
    <w:rsid w:val="00685C7C"/>
    <w:pPr>
      <w:spacing w:after="120"/>
      <w:ind w:left="482"/>
    </w:pPr>
    <w:rPr>
      <w:rFonts w:ascii="Arial" w:hAnsi="Arial"/>
    </w:rPr>
  </w:style>
  <w:style w:type="character" w:styleId="Hyperlink">
    <w:name w:val="Hyperlink"/>
    <w:uiPriority w:val="99"/>
    <w:rsid w:val="00506052"/>
    <w:rPr>
      <w:color w:val="0000FF"/>
      <w:u w:val="single"/>
    </w:rPr>
  </w:style>
  <w:style w:type="paragraph" w:styleId="ListNumber2">
    <w:name w:val="List Number 2"/>
    <w:basedOn w:val="BodyText"/>
    <w:uiPriority w:val="1"/>
    <w:unhideWhenUsed/>
    <w:qFormat/>
    <w:rsid w:val="00506052"/>
    <w:pPr>
      <w:numPr>
        <w:numId w:val="19"/>
      </w:numPr>
    </w:pPr>
  </w:style>
  <w:style w:type="paragraph" w:styleId="Title">
    <w:name w:val="Title"/>
    <w:basedOn w:val="BodyText"/>
    <w:next w:val="BodyText"/>
    <w:link w:val="TitleChar"/>
    <w:uiPriority w:val="8"/>
    <w:qFormat/>
    <w:rsid w:val="003B1E78"/>
    <w:pPr>
      <w:spacing w:before="720" w:after="360"/>
      <w:contextualSpacing/>
    </w:pPr>
    <w:rPr>
      <w:rFonts w:asciiTheme="majorHAnsi" w:eastAsiaTheme="majorEastAsia" w:hAnsiTheme="majorHAnsi" w:cstheme="majorBidi"/>
      <w:b/>
      <w:spacing w:val="-10"/>
      <w:kern w:val="28"/>
      <w:sz w:val="64"/>
      <w:szCs w:val="56"/>
    </w:rPr>
  </w:style>
  <w:style w:type="character" w:customStyle="1" w:styleId="Heading1Char">
    <w:name w:val="Heading 1 Char"/>
    <w:basedOn w:val="DefaultParagraphFont"/>
    <w:link w:val="Heading1"/>
    <w:uiPriority w:val="9"/>
    <w:rsid w:val="003B1E78"/>
    <w:rPr>
      <w:rFonts w:asciiTheme="majorHAnsi" w:hAnsiTheme="majorHAnsi" w:cs="Arial"/>
      <w:b/>
      <w:bCs/>
      <w:kern w:val="32"/>
      <w:sz w:val="40"/>
      <w:szCs w:val="40"/>
    </w:rPr>
  </w:style>
  <w:style w:type="character" w:customStyle="1" w:styleId="Heading2Char">
    <w:name w:val="Heading 2 Char"/>
    <w:basedOn w:val="DefaultParagraphFont"/>
    <w:link w:val="Heading2"/>
    <w:uiPriority w:val="9"/>
    <w:rsid w:val="003B1E78"/>
    <w:rPr>
      <w:rFonts w:asciiTheme="majorHAnsi" w:hAnsiTheme="majorHAnsi" w:cs="Arial"/>
      <w:b/>
      <w:bCs/>
      <w:iCs/>
      <w:color w:val="000000"/>
      <w:sz w:val="32"/>
      <w:szCs w:val="28"/>
    </w:rPr>
  </w:style>
  <w:style w:type="character" w:customStyle="1" w:styleId="Heading3Char">
    <w:name w:val="Heading 3 Char"/>
    <w:basedOn w:val="DefaultParagraphFont"/>
    <w:link w:val="Heading3"/>
    <w:uiPriority w:val="9"/>
    <w:rsid w:val="003B1E78"/>
    <w:rPr>
      <w:rFonts w:asciiTheme="majorHAnsi" w:hAnsiTheme="majorHAnsi" w:cs="Arial"/>
      <w:b/>
      <w:bCs/>
      <w:sz w:val="28"/>
      <w:szCs w:val="26"/>
    </w:rPr>
  </w:style>
  <w:style w:type="character" w:customStyle="1" w:styleId="Heading4Char">
    <w:name w:val="Heading 4 Char"/>
    <w:basedOn w:val="DefaultParagraphFont"/>
    <w:link w:val="Heading4"/>
    <w:uiPriority w:val="9"/>
    <w:rsid w:val="003B1E78"/>
    <w:rPr>
      <w:rFonts w:asciiTheme="majorHAnsi" w:hAnsiTheme="majorHAnsi" w:cs="Arial"/>
      <w:b/>
      <w:bCs/>
      <w:sz w:val="24"/>
      <w:szCs w:val="22"/>
    </w:rPr>
  </w:style>
  <w:style w:type="character" w:customStyle="1" w:styleId="TitleChar">
    <w:name w:val="Title Char"/>
    <w:basedOn w:val="DefaultParagraphFont"/>
    <w:link w:val="Title"/>
    <w:uiPriority w:val="8"/>
    <w:rsid w:val="003B1E78"/>
    <w:rPr>
      <w:rFonts w:asciiTheme="majorHAnsi" w:eastAsiaTheme="majorEastAsia" w:hAnsiTheme="majorHAnsi" w:cstheme="majorBidi"/>
      <w:b/>
      <w:spacing w:val="-10"/>
      <w:kern w:val="28"/>
      <w:sz w:val="64"/>
      <w:szCs w:val="56"/>
    </w:rPr>
  </w:style>
  <w:style w:type="character" w:customStyle="1" w:styleId="FooterChar">
    <w:name w:val="Footer Char"/>
    <w:basedOn w:val="DefaultParagraphFont"/>
    <w:link w:val="Footer"/>
    <w:uiPriority w:val="99"/>
    <w:rsid w:val="00506052"/>
    <w:rPr>
      <w:rFonts w:ascii="Roboto" w:hAnsi="Roboto" w:cs="Arial"/>
      <w:szCs w:val="22"/>
    </w:rPr>
  </w:style>
  <w:style w:type="paragraph" w:customStyle="1" w:styleId="Classification">
    <w:name w:val="Classification"/>
    <w:basedOn w:val="BodyText"/>
    <w:link w:val="ClassificationChar"/>
    <w:uiPriority w:val="99"/>
    <w:rsid w:val="003B1E78"/>
    <w:pPr>
      <w:spacing w:before="120"/>
      <w:jc w:val="center"/>
    </w:pPr>
    <w:rPr>
      <w:b/>
      <w:bCs/>
      <w:color w:val="FF0000"/>
      <w:sz w:val="24"/>
      <w:szCs w:val="40"/>
    </w:rPr>
  </w:style>
  <w:style w:type="character" w:customStyle="1" w:styleId="ClassificationChar">
    <w:name w:val="Classification Char"/>
    <w:basedOn w:val="BodyTextChar"/>
    <w:link w:val="Classification"/>
    <w:uiPriority w:val="99"/>
    <w:rsid w:val="003B1E78"/>
    <w:rPr>
      <w:rFonts w:ascii="Roboto" w:hAnsi="Roboto" w:cs="Arial"/>
      <w:b/>
      <w:bCs/>
      <w:color w:val="FF0000"/>
      <w:sz w:val="24"/>
      <w:szCs w:val="40"/>
    </w:rPr>
  </w:style>
  <w:style w:type="character" w:customStyle="1" w:styleId="HeaderChar">
    <w:name w:val="Header Char"/>
    <w:aliases w:val="Blue Header Char"/>
    <w:basedOn w:val="DefaultParagraphFont"/>
    <w:link w:val="Header"/>
    <w:uiPriority w:val="99"/>
    <w:rsid w:val="003B1E78"/>
    <w:rPr>
      <w:sz w:val="24"/>
      <w:szCs w:val="24"/>
    </w:rPr>
  </w:style>
  <w:style w:type="paragraph" w:styleId="ListParagraph">
    <w:name w:val="List Paragraph"/>
    <w:basedOn w:val="Normal"/>
    <w:uiPriority w:val="34"/>
    <w:qFormat/>
    <w:rsid w:val="00387982"/>
    <w:pPr>
      <w:ind w:left="720"/>
      <w:contextualSpacing/>
    </w:pPr>
  </w:style>
  <w:style w:type="paragraph" w:styleId="Revision">
    <w:name w:val="Revision"/>
    <w:hidden/>
    <w:uiPriority w:val="99"/>
    <w:semiHidden/>
    <w:rsid w:val="00A14F91"/>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document-portrait-2001.dotx" TargetMode="External"/></Relationships>
</file>

<file path=word/theme/theme1.xml><?xml version="1.0" encoding="utf-8"?>
<a:theme xmlns:a="http://schemas.openxmlformats.org/drawingml/2006/main" name="Services_Australia">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7C72-88BC-4622-A65D-6CE78FCC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07BBE-91D4-47BD-AF48-A562C73432EF}">
  <ds:schemaRefs>
    <ds:schemaRef ds:uri="http://schemas.microsoft.com/sharepoint/v3/contenttype/forms"/>
  </ds:schemaRefs>
</ds:datastoreItem>
</file>

<file path=customXml/itemProps3.xml><?xml version="1.0" encoding="utf-8"?>
<ds:datastoreItem xmlns:ds="http://schemas.openxmlformats.org/officeDocument/2006/customXml" ds:itemID="{DD4BE958-1212-4005-9682-85FC173C2842}">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4.xml><?xml version="1.0" encoding="utf-8"?>
<ds:datastoreItem xmlns:ds="http://schemas.openxmlformats.org/officeDocument/2006/customXml" ds:itemID="{47180B8C-5538-4803-844E-C3CEA021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document-portrait-2001.dotx</Template>
  <TotalTime>1</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document-portrait-2001</vt:lpstr>
    </vt:vector>
  </TitlesOfParts>
  <Manager/>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statement of intent 2024-25</dc:title>
  <dc:subject/>
  <dc:creator>Services Australia</dc:creator>
  <cp:keywords/>
  <dc:description/>
  <cp:revision>2</cp:revision>
  <dcterms:created xsi:type="dcterms:W3CDTF">2024-12-16T04:25:00Z</dcterms:created>
  <dcterms:modified xsi:type="dcterms:W3CDTF">2024-12-18T00:04:00Z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4" name="Order">
    <vt:r8>4400800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