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9476" w14:textId="77777777" w:rsidR="005C0B27" w:rsidRPr="005C0B27" w:rsidRDefault="005C0B27" w:rsidP="005C0B27">
      <w:pPr>
        <w:pStyle w:val="Heading1"/>
        <w:rPr>
          <w:lang w:val="en-US"/>
        </w:rPr>
      </w:pPr>
      <w:bookmarkStart w:id="0" w:name="_Toc184381039"/>
      <w:r w:rsidRPr="005C0B27">
        <w:rPr>
          <w:lang w:val="en-US"/>
        </w:rPr>
        <w:t>Family and Domestic Violence Strategic Commitment</w:t>
      </w:r>
      <w:bookmarkEnd w:id="0"/>
    </w:p>
    <w:p w14:paraId="63F02238" w14:textId="77777777" w:rsidR="005C0B27" w:rsidRPr="005C0B27" w:rsidRDefault="005C0B27" w:rsidP="005C0B27">
      <w:pPr>
        <w:rPr>
          <w:lang w:val="en-US"/>
        </w:rPr>
      </w:pPr>
      <w:r w:rsidRPr="005C0B27">
        <w:rPr>
          <w:lang w:val="en-US"/>
        </w:rPr>
        <w:t>December 2024</w:t>
      </w:r>
    </w:p>
    <w:p w14:paraId="3B3E891A" w14:textId="77777777" w:rsidR="005C0B27" w:rsidRPr="005C0B27" w:rsidRDefault="005C0B27" w:rsidP="005C0B27">
      <w:pPr>
        <w:pStyle w:val="Heading2"/>
        <w:rPr>
          <w:lang w:val="en-US"/>
        </w:rPr>
      </w:pPr>
      <w:bookmarkStart w:id="1" w:name="_Toc184381040"/>
      <w:r w:rsidRPr="005C0B27">
        <w:rPr>
          <w:lang w:val="en-US"/>
        </w:rPr>
        <w:t>Acknowledgement of Country and Traditional Owners</w:t>
      </w:r>
      <w:bookmarkEnd w:id="1"/>
    </w:p>
    <w:p w14:paraId="691E864E" w14:textId="77777777" w:rsidR="005C0B27" w:rsidRPr="005C0B27" w:rsidRDefault="005C0B27" w:rsidP="005C0B27">
      <w:pPr>
        <w:pStyle w:val="BodyText"/>
        <w:rPr>
          <w:lang w:val="en-US"/>
        </w:rPr>
      </w:pPr>
      <w:r w:rsidRPr="005C0B27">
        <w:rPr>
          <w:lang w:val="en-US"/>
        </w:rPr>
        <w:t xml:space="preserve">Services Australia </w:t>
      </w:r>
      <w:proofErr w:type="spellStart"/>
      <w:r w:rsidRPr="005C0B27">
        <w:rPr>
          <w:lang w:val="en-US"/>
        </w:rPr>
        <w:t>recognises</w:t>
      </w:r>
      <w:proofErr w:type="spellEnd"/>
      <w:r w:rsidRPr="005C0B27">
        <w:rPr>
          <w:lang w:val="en-US"/>
        </w:rPr>
        <w:t xml:space="preserve"> Aboriginal and Torres Strait Islander people as the first peoples of this land and their ongoing connection to the lands, seas and waterways. We pay respect to all Elders, past and present, of all Aboriginal and Torres Strait Islander Nations.</w:t>
      </w:r>
    </w:p>
    <w:p w14:paraId="6785E060" w14:textId="531352B3" w:rsidR="00E018DC" w:rsidRDefault="005C0B27" w:rsidP="005C0B27">
      <w:pPr>
        <w:pStyle w:val="BodyText"/>
        <w:rPr>
          <w:lang w:val="en-US"/>
        </w:rPr>
      </w:pPr>
      <w:r w:rsidRPr="005C0B27">
        <w:rPr>
          <w:lang w:val="en-US"/>
        </w:rPr>
        <w:t xml:space="preserve">We </w:t>
      </w:r>
      <w:proofErr w:type="spellStart"/>
      <w:r w:rsidRPr="005C0B27">
        <w:rPr>
          <w:lang w:val="en-US"/>
        </w:rPr>
        <w:t>recognise</w:t>
      </w:r>
      <w:proofErr w:type="spellEnd"/>
      <w:r w:rsidRPr="005C0B27">
        <w:rPr>
          <w:lang w:val="en-US"/>
        </w:rPr>
        <w:t xml:space="preserve"> the enduring strength and resilience of the world’s oldest continuous living cultures and value the rich diversity Aboriginal and Torres Strait Islander cultural heritages contribute.</w:t>
      </w:r>
    </w:p>
    <w:sdt>
      <w:sdtPr>
        <w:rPr>
          <w:rFonts w:cs="Times New Roman"/>
          <w:b w:val="0"/>
          <w:bCs w:val="0"/>
          <w:iCs w:val="0"/>
          <w:sz w:val="24"/>
          <w:szCs w:val="24"/>
        </w:rPr>
        <w:id w:val="1480733401"/>
        <w:docPartObj>
          <w:docPartGallery w:val="Table of Contents"/>
          <w:docPartUnique/>
        </w:docPartObj>
      </w:sdtPr>
      <w:sdtEndPr>
        <w:rPr>
          <w:noProof/>
        </w:rPr>
      </w:sdtEndPr>
      <w:sdtContent>
        <w:p w14:paraId="4151BCF6" w14:textId="57146F35" w:rsidR="00B966AE" w:rsidRDefault="00B966AE" w:rsidP="00B966AE">
          <w:pPr>
            <w:pStyle w:val="Heading2"/>
          </w:pPr>
          <w:r>
            <w:t>Contents</w:t>
          </w:r>
        </w:p>
        <w:p w14:paraId="04194EE9" w14:textId="25723CD0" w:rsidR="00B966AE" w:rsidRDefault="00B966AE">
          <w:pPr>
            <w:pStyle w:val="TOC1"/>
            <w:tabs>
              <w:tab w:val="right" w:pos="10790"/>
            </w:tabs>
            <w:rPr>
              <w:rFonts w:asciiTheme="minorHAnsi" w:eastAsiaTheme="minorEastAsia" w:hAnsiTheme="minorHAnsi" w:cstheme="minorBidi"/>
              <w:noProof/>
              <w:kern w:val="2"/>
              <w:lang w:eastAsia="en-AU"/>
              <w14:ligatures w14:val="standardContextual"/>
            </w:rPr>
          </w:pPr>
          <w:r>
            <w:fldChar w:fldCharType="begin"/>
          </w:r>
          <w:r>
            <w:instrText xml:space="preserve"> TOC \o "1-3" \h \z \u </w:instrText>
          </w:r>
          <w:r>
            <w:fldChar w:fldCharType="separate"/>
          </w:r>
          <w:hyperlink w:anchor="_Toc184381039" w:history="1">
            <w:r w:rsidRPr="00DA5F1C">
              <w:rPr>
                <w:rStyle w:val="Hyperlink"/>
                <w:noProof/>
                <w:lang w:val="en-US"/>
              </w:rPr>
              <w:t>Family and Domestic Violence Strategic Commitment</w:t>
            </w:r>
            <w:r>
              <w:rPr>
                <w:noProof/>
                <w:webHidden/>
              </w:rPr>
              <w:tab/>
            </w:r>
            <w:r>
              <w:rPr>
                <w:noProof/>
                <w:webHidden/>
              </w:rPr>
              <w:fldChar w:fldCharType="begin"/>
            </w:r>
            <w:r>
              <w:rPr>
                <w:noProof/>
                <w:webHidden/>
              </w:rPr>
              <w:instrText xml:space="preserve"> PAGEREF _Toc184381039 \h </w:instrText>
            </w:r>
            <w:r>
              <w:rPr>
                <w:noProof/>
                <w:webHidden/>
              </w:rPr>
            </w:r>
            <w:r>
              <w:rPr>
                <w:noProof/>
                <w:webHidden/>
              </w:rPr>
              <w:fldChar w:fldCharType="separate"/>
            </w:r>
            <w:r>
              <w:rPr>
                <w:noProof/>
                <w:webHidden/>
              </w:rPr>
              <w:t>1</w:t>
            </w:r>
            <w:r>
              <w:rPr>
                <w:noProof/>
                <w:webHidden/>
              </w:rPr>
              <w:fldChar w:fldCharType="end"/>
            </w:r>
          </w:hyperlink>
        </w:p>
        <w:p w14:paraId="59F4E44F" w14:textId="79474545" w:rsidR="00B966AE" w:rsidRDefault="00B966AE">
          <w:pPr>
            <w:pStyle w:val="TOC2"/>
            <w:tabs>
              <w:tab w:val="right" w:pos="10790"/>
            </w:tabs>
            <w:rPr>
              <w:rFonts w:asciiTheme="minorHAnsi" w:eastAsiaTheme="minorEastAsia" w:hAnsiTheme="minorHAnsi" w:cstheme="minorBidi"/>
              <w:noProof/>
              <w:kern w:val="2"/>
              <w:lang w:eastAsia="en-AU"/>
              <w14:ligatures w14:val="standardContextual"/>
            </w:rPr>
          </w:pPr>
          <w:hyperlink w:anchor="_Toc184381040" w:history="1">
            <w:r w:rsidRPr="00DA5F1C">
              <w:rPr>
                <w:rStyle w:val="Hyperlink"/>
                <w:noProof/>
                <w:lang w:val="en-US"/>
              </w:rPr>
              <w:t>Acknowledgement of Country and Traditional Owners</w:t>
            </w:r>
            <w:r>
              <w:rPr>
                <w:noProof/>
                <w:webHidden/>
              </w:rPr>
              <w:tab/>
            </w:r>
            <w:r>
              <w:rPr>
                <w:noProof/>
                <w:webHidden/>
              </w:rPr>
              <w:fldChar w:fldCharType="begin"/>
            </w:r>
            <w:r>
              <w:rPr>
                <w:noProof/>
                <w:webHidden/>
              </w:rPr>
              <w:instrText xml:space="preserve"> PAGEREF _Toc184381040 \h </w:instrText>
            </w:r>
            <w:r>
              <w:rPr>
                <w:noProof/>
                <w:webHidden/>
              </w:rPr>
            </w:r>
            <w:r>
              <w:rPr>
                <w:noProof/>
                <w:webHidden/>
              </w:rPr>
              <w:fldChar w:fldCharType="separate"/>
            </w:r>
            <w:r>
              <w:rPr>
                <w:noProof/>
                <w:webHidden/>
              </w:rPr>
              <w:t>1</w:t>
            </w:r>
            <w:r>
              <w:rPr>
                <w:noProof/>
                <w:webHidden/>
              </w:rPr>
              <w:fldChar w:fldCharType="end"/>
            </w:r>
          </w:hyperlink>
        </w:p>
        <w:p w14:paraId="22E79639" w14:textId="2BBAB0D1" w:rsidR="00B966AE" w:rsidRDefault="00B966AE">
          <w:pPr>
            <w:pStyle w:val="TOC2"/>
            <w:tabs>
              <w:tab w:val="right" w:pos="10790"/>
            </w:tabs>
            <w:rPr>
              <w:rFonts w:asciiTheme="minorHAnsi" w:eastAsiaTheme="minorEastAsia" w:hAnsiTheme="minorHAnsi" w:cstheme="minorBidi"/>
              <w:noProof/>
              <w:kern w:val="2"/>
              <w:lang w:eastAsia="en-AU"/>
              <w14:ligatures w14:val="standardContextual"/>
            </w:rPr>
          </w:pPr>
          <w:hyperlink w:anchor="_Toc184381041" w:history="1">
            <w:r w:rsidRPr="00DA5F1C">
              <w:rPr>
                <w:rStyle w:val="Hyperlink"/>
                <w:noProof/>
                <w:lang w:val="en-US"/>
              </w:rPr>
              <w:t>A message from the Chief Executive Officer</w:t>
            </w:r>
            <w:r>
              <w:rPr>
                <w:noProof/>
                <w:webHidden/>
              </w:rPr>
              <w:tab/>
            </w:r>
            <w:r>
              <w:rPr>
                <w:noProof/>
                <w:webHidden/>
              </w:rPr>
              <w:fldChar w:fldCharType="begin"/>
            </w:r>
            <w:r>
              <w:rPr>
                <w:noProof/>
                <w:webHidden/>
              </w:rPr>
              <w:instrText xml:space="preserve"> PAGEREF _Toc184381041 \h </w:instrText>
            </w:r>
            <w:r>
              <w:rPr>
                <w:noProof/>
                <w:webHidden/>
              </w:rPr>
            </w:r>
            <w:r>
              <w:rPr>
                <w:noProof/>
                <w:webHidden/>
              </w:rPr>
              <w:fldChar w:fldCharType="separate"/>
            </w:r>
            <w:r>
              <w:rPr>
                <w:noProof/>
                <w:webHidden/>
              </w:rPr>
              <w:t>1</w:t>
            </w:r>
            <w:r>
              <w:rPr>
                <w:noProof/>
                <w:webHidden/>
              </w:rPr>
              <w:fldChar w:fldCharType="end"/>
            </w:r>
          </w:hyperlink>
        </w:p>
        <w:p w14:paraId="297AD549" w14:textId="297B0490" w:rsidR="00B966AE" w:rsidRDefault="00B966AE">
          <w:pPr>
            <w:pStyle w:val="TOC2"/>
            <w:tabs>
              <w:tab w:val="right" w:pos="10790"/>
            </w:tabs>
            <w:rPr>
              <w:rFonts w:asciiTheme="minorHAnsi" w:eastAsiaTheme="minorEastAsia" w:hAnsiTheme="minorHAnsi" w:cstheme="minorBidi"/>
              <w:noProof/>
              <w:kern w:val="2"/>
              <w:lang w:eastAsia="en-AU"/>
              <w14:ligatures w14:val="standardContextual"/>
            </w:rPr>
          </w:pPr>
          <w:hyperlink w:anchor="_Toc184381042" w:history="1">
            <w:r w:rsidRPr="00DA5F1C">
              <w:rPr>
                <w:rStyle w:val="Hyperlink"/>
                <w:noProof/>
                <w:lang w:val="en-US"/>
              </w:rPr>
              <w:t>Our journey</w:t>
            </w:r>
            <w:r>
              <w:rPr>
                <w:noProof/>
                <w:webHidden/>
              </w:rPr>
              <w:tab/>
            </w:r>
            <w:r>
              <w:rPr>
                <w:noProof/>
                <w:webHidden/>
              </w:rPr>
              <w:fldChar w:fldCharType="begin"/>
            </w:r>
            <w:r>
              <w:rPr>
                <w:noProof/>
                <w:webHidden/>
              </w:rPr>
              <w:instrText xml:space="preserve"> PAGEREF _Toc184381042 \h </w:instrText>
            </w:r>
            <w:r>
              <w:rPr>
                <w:noProof/>
                <w:webHidden/>
              </w:rPr>
            </w:r>
            <w:r>
              <w:rPr>
                <w:noProof/>
                <w:webHidden/>
              </w:rPr>
              <w:fldChar w:fldCharType="separate"/>
            </w:r>
            <w:r>
              <w:rPr>
                <w:noProof/>
                <w:webHidden/>
              </w:rPr>
              <w:t>1</w:t>
            </w:r>
            <w:r>
              <w:rPr>
                <w:noProof/>
                <w:webHidden/>
              </w:rPr>
              <w:fldChar w:fldCharType="end"/>
            </w:r>
          </w:hyperlink>
        </w:p>
        <w:p w14:paraId="68551D6B" w14:textId="40262764" w:rsidR="00B966AE" w:rsidRDefault="00B966AE">
          <w:pPr>
            <w:pStyle w:val="TOC2"/>
            <w:tabs>
              <w:tab w:val="right" w:pos="10790"/>
            </w:tabs>
            <w:rPr>
              <w:rFonts w:asciiTheme="minorHAnsi" w:eastAsiaTheme="minorEastAsia" w:hAnsiTheme="minorHAnsi" w:cstheme="minorBidi"/>
              <w:noProof/>
              <w:kern w:val="2"/>
              <w:lang w:eastAsia="en-AU"/>
              <w14:ligatures w14:val="standardContextual"/>
            </w:rPr>
          </w:pPr>
          <w:hyperlink w:anchor="_Toc184381043" w:history="1">
            <w:r w:rsidRPr="00DA5F1C">
              <w:rPr>
                <w:rStyle w:val="Hyperlink"/>
                <w:noProof/>
                <w:lang w:val="en-US"/>
              </w:rPr>
              <w:t>Our future</w:t>
            </w:r>
            <w:r>
              <w:rPr>
                <w:noProof/>
                <w:webHidden/>
              </w:rPr>
              <w:tab/>
            </w:r>
            <w:r>
              <w:rPr>
                <w:noProof/>
                <w:webHidden/>
              </w:rPr>
              <w:fldChar w:fldCharType="begin"/>
            </w:r>
            <w:r>
              <w:rPr>
                <w:noProof/>
                <w:webHidden/>
              </w:rPr>
              <w:instrText xml:space="preserve"> PAGEREF _Toc184381043 \h </w:instrText>
            </w:r>
            <w:r>
              <w:rPr>
                <w:noProof/>
                <w:webHidden/>
              </w:rPr>
            </w:r>
            <w:r>
              <w:rPr>
                <w:noProof/>
                <w:webHidden/>
              </w:rPr>
              <w:fldChar w:fldCharType="separate"/>
            </w:r>
            <w:r>
              <w:rPr>
                <w:noProof/>
                <w:webHidden/>
              </w:rPr>
              <w:t>2</w:t>
            </w:r>
            <w:r>
              <w:rPr>
                <w:noProof/>
                <w:webHidden/>
              </w:rPr>
              <w:fldChar w:fldCharType="end"/>
            </w:r>
          </w:hyperlink>
        </w:p>
        <w:p w14:paraId="24569226" w14:textId="7AE81603" w:rsidR="00B966AE" w:rsidRDefault="00B966AE">
          <w:pPr>
            <w:pStyle w:val="TOC2"/>
            <w:tabs>
              <w:tab w:val="right" w:pos="10790"/>
            </w:tabs>
            <w:rPr>
              <w:rFonts w:asciiTheme="minorHAnsi" w:eastAsiaTheme="minorEastAsia" w:hAnsiTheme="minorHAnsi" w:cstheme="minorBidi"/>
              <w:noProof/>
              <w:kern w:val="2"/>
              <w:lang w:eastAsia="en-AU"/>
              <w14:ligatures w14:val="standardContextual"/>
            </w:rPr>
          </w:pPr>
          <w:hyperlink w:anchor="_Toc184381044" w:history="1">
            <w:r w:rsidRPr="00DA5F1C">
              <w:rPr>
                <w:rStyle w:val="Hyperlink"/>
                <w:noProof/>
                <w:lang w:val="en-US"/>
              </w:rPr>
              <w:t>Our commitment</w:t>
            </w:r>
            <w:r>
              <w:rPr>
                <w:noProof/>
                <w:webHidden/>
              </w:rPr>
              <w:tab/>
            </w:r>
            <w:r>
              <w:rPr>
                <w:noProof/>
                <w:webHidden/>
              </w:rPr>
              <w:fldChar w:fldCharType="begin"/>
            </w:r>
            <w:r>
              <w:rPr>
                <w:noProof/>
                <w:webHidden/>
              </w:rPr>
              <w:instrText xml:space="preserve"> PAGEREF _Toc184381044 \h </w:instrText>
            </w:r>
            <w:r>
              <w:rPr>
                <w:noProof/>
                <w:webHidden/>
              </w:rPr>
            </w:r>
            <w:r>
              <w:rPr>
                <w:noProof/>
                <w:webHidden/>
              </w:rPr>
              <w:fldChar w:fldCharType="separate"/>
            </w:r>
            <w:r>
              <w:rPr>
                <w:noProof/>
                <w:webHidden/>
              </w:rPr>
              <w:t>3</w:t>
            </w:r>
            <w:r>
              <w:rPr>
                <w:noProof/>
                <w:webHidden/>
              </w:rPr>
              <w:fldChar w:fldCharType="end"/>
            </w:r>
          </w:hyperlink>
        </w:p>
        <w:p w14:paraId="28319472" w14:textId="66C45797" w:rsidR="00B966AE" w:rsidRDefault="00B966AE">
          <w:pPr>
            <w:pStyle w:val="TOC3"/>
            <w:tabs>
              <w:tab w:val="right" w:pos="10790"/>
            </w:tabs>
            <w:rPr>
              <w:rFonts w:asciiTheme="minorHAnsi" w:eastAsiaTheme="minorEastAsia" w:hAnsiTheme="minorHAnsi" w:cstheme="minorBidi"/>
              <w:noProof/>
              <w:kern w:val="2"/>
              <w:lang w:eastAsia="en-AU"/>
              <w14:ligatures w14:val="standardContextual"/>
            </w:rPr>
          </w:pPr>
          <w:hyperlink w:anchor="_Toc184381045" w:history="1">
            <w:r w:rsidRPr="00DA5F1C">
              <w:rPr>
                <w:rStyle w:val="Hyperlink"/>
                <w:noProof/>
                <w:lang w:val="en-US"/>
              </w:rPr>
              <w:t>As a service provider and government agency</w:t>
            </w:r>
            <w:r>
              <w:rPr>
                <w:noProof/>
                <w:webHidden/>
              </w:rPr>
              <w:tab/>
            </w:r>
            <w:r>
              <w:rPr>
                <w:noProof/>
                <w:webHidden/>
              </w:rPr>
              <w:fldChar w:fldCharType="begin"/>
            </w:r>
            <w:r>
              <w:rPr>
                <w:noProof/>
                <w:webHidden/>
              </w:rPr>
              <w:instrText xml:space="preserve"> PAGEREF _Toc184381045 \h </w:instrText>
            </w:r>
            <w:r>
              <w:rPr>
                <w:noProof/>
                <w:webHidden/>
              </w:rPr>
            </w:r>
            <w:r>
              <w:rPr>
                <w:noProof/>
                <w:webHidden/>
              </w:rPr>
              <w:fldChar w:fldCharType="separate"/>
            </w:r>
            <w:r>
              <w:rPr>
                <w:noProof/>
                <w:webHidden/>
              </w:rPr>
              <w:t>3</w:t>
            </w:r>
            <w:r>
              <w:rPr>
                <w:noProof/>
                <w:webHidden/>
              </w:rPr>
              <w:fldChar w:fldCharType="end"/>
            </w:r>
          </w:hyperlink>
        </w:p>
        <w:p w14:paraId="1118AEB0" w14:textId="7F2539BC" w:rsidR="00B966AE" w:rsidRDefault="00B966AE">
          <w:pPr>
            <w:pStyle w:val="TOC3"/>
            <w:tabs>
              <w:tab w:val="right" w:pos="10790"/>
            </w:tabs>
            <w:rPr>
              <w:rFonts w:asciiTheme="minorHAnsi" w:eastAsiaTheme="minorEastAsia" w:hAnsiTheme="minorHAnsi" w:cstheme="minorBidi"/>
              <w:noProof/>
              <w:kern w:val="2"/>
              <w:lang w:eastAsia="en-AU"/>
              <w14:ligatures w14:val="standardContextual"/>
            </w:rPr>
          </w:pPr>
          <w:hyperlink w:anchor="_Toc184381046" w:history="1">
            <w:r w:rsidRPr="00DA5F1C">
              <w:rPr>
                <w:rStyle w:val="Hyperlink"/>
                <w:noProof/>
                <w:lang w:val="en-US"/>
              </w:rPr>
              <w:t>As an employer</w:t>
            </w:r>
            <w:r>
              <w:rPr>
                <w:noProof/>
                <w:webHidden/>
              </w:rPr>
              <w:tab/>
            </w:r>
            <w:r>
              <w:rPr>
                <w:noProof/>
                <w:webHidden/>
              </w:rPr>
              <w:fldChar w:fldCharType="begin"/>
            </w:r>
            <w:r>
              <w:rPr>
                <w:noProof/>
                <w:webHidden/>
              </w:rPr>
              <w:instrText xml:space="preserve"> PAGEREF _Toc184381046 \h </w:instrText>
            </w:r>
            <w:r>
              <w:rPr>
                <w:noProof/>
                <w:webHidden/>
              </w:rPr>
            </w:r>
            <w:r>
              <w:rPr>
                <w:noProof/>
                <w:webHidden/>
              </w:rPr>
              <w:fldChar w:fldCharType="separate"/>
            </w:r>
            <w:r>
              <w:rPr>
                <w:noProof/>
                <w:webHidden/>
              </w:rPr>
              <w:t>3</w:t>
            </w:r>
            <w:r>
              <w:rPr>
                <w:noProof/>
                <w:webHidden/>
              </w:rPr>
              <w:fldChar w:fldCharType="end"/>
            </w:r>
          </w:hyperlink>
        </w:p>
        <w:p w14:paraId="7AF23E2C" w14:textId="11028789" w:rsidR="00B966AE" w:rsidRDefault="00B966AE">
          <w:pPr>
            <w:pStyle w:val="TOC2"/>
            <w:tabs>
              <w:tab w:val="right" w:pos="10790"/>
            </w:tabs>
            <w:rPr>
              <w:rFonts w:asciiTheme="minorHAnsi" w:eastAsiaTheme="minorEastAsia" w:hAnsiTheme="minorHAnsi" w:cstheme="minorBidi"/>
              <w:noProof/>
              <w:kern w:val="2"/>
              <w:lang w:eastAsia="en-AU"/>
              <w14:ligatures w14:val="standardContextual"/>
            </w:rPr>
          </w:pPr>
          <w:hyperlink w:anchor="_Toc184381047" w:history="1">
            <w:r w:rsidRPr="00DA5F1C">
              <w:rPr>
                <w:rStyle w:val="Hyperlink"/>
                <w:noProof/>
                <w:lang w:val="en-US"/>
              </w:rPr>
              <w:t>Reporting on our progress</w:t>
            </w:r>
            <w:r>
              <w:rPr>
                <w:noProof/>
                <w:webHidden/>
              </w:rPr>
              <w:tab/>
            </w:r>
            <w:r>
              <w:rPr>
                <w:noProof/>
                <w:webHidden/>
              </w:rPr>
              <w:fldChar w:fldCharType="begin"/>
            </w:r>
            <w:r>
              <w:rPr>
                <w:noProof/>
                <w:webHidden/>
              </w:rPr>
              <w:instrText xml:space="preserve"> PAGEREF _Toc184381047 \h </w:instrText>
            </w:r>
            <w:r>
              <w:rPr>
                <w:noProof/>
                <w:webHidden/>
              </w:rPr>
            </w:r>
            <w:r>
              <w:rPr>
                <w:noProof/>
                <w:webHidden/>
              </w:rPr>
              <w:fldChar w:fldCharType="separate"/>
            </w:r>
            <w:r>
              <w:rPr>
                <w:noProof/>
                <w:webHidden/>
              </w:rPr>
              <w:t>4</w:t>
            </w:r>
            <w:r>
              <w:rPr>
                <w:noProof/>
                <w:webHidden/>
              </w:rPr>
              <w:fldChar w:fldCharType="end"/>
            </w:r>
          </w:hyperlink>
        </w:p>
        <w:p w14:paraId="3A480C94" w14:textId="71098D6F" w:rsidR="00B966AE" w:rsidRDefault="00B966AE">
          <w:pPr>
            <w:pStyle w:val="TOC3"/>
            <w:tabs>
              <w:tab w:val="right" w:pos="10790"/>
            </w:tabs>
            <w:rPr>
              <w:rFonts w:asciiTheme="minorHAnsi" w:eastAsiaTheme="minorEastAsia" w:hAnsiTheme="minorHAnsi" w:cstheme="minorBidi"/>
              <w:noProof/>
              <w:kern w:val="2"/>
              <w:lang w:eastAsia="en-AU"/>
              <w14:ligatures w14:val="standardContextual"/>
            </w:rPr>
          </w:pPr>
          <w:hyperlink w:anchor="_Toc184381048" w:history="1">
            <w:r w:rsidRPr="00DA5F1C">
              <w:rPr>
                <w:rStyle w:val="Hyperlink"/>
                <w:noProof/>
                <w:lang w:val="en-US"/>
              </w:rPr>
              <w:t>Family and Domestic Violence (FDV) definition:</w:t>
            </w:r>
            <w:r>
              <w:rPr>
                <w:noProof/>
                <w:webHidden/>
              </w:rPr>
              <w:tab/>
            </w:r>
            <w:r>
              <w:rPr>
                <w:noProof/>
                <w:webHidden/>
              </w:rPr>
              <w:fldChar w:fldCharType="begin"/>
            </w:r>
            <w:r>
              <w:rPr>
                <w:noProof/>
                <w:webHidden/>
              </w:rPr>
              <w:instrText xml:space="preserve"> PAGEREF _Toc184381048 \h </w:instrText>
            </w:r>
            <w:r>
              <w:rPr>
                <w:noProof/>
                <w:webHidden/>
              </w:rPr>
            </w:r>
            <w:r>
              <w:rPr>
                <w:noProof/>
                <w:webHidden/>
              </w:rPr>
              <w:fldChar w:fldCharType="separate"/>
            </w:r>
            <w:r>
              <w:rPr>
                <w:noProof/>
                <w:webHidden/>
              </w:rPr>
              <w:t>4</w:t>
            </w:r>
            <w:r>
              <w:rPr>
                <w:noProof/>
                <w:webHidden/>
              </w:rPr>
              <w:fldChar w:fldCharType="end"/>
            </w:r>
          </w:hyperlink>
        </w:p>
        <w:p w14:paraId="77CAF8F0" w14:textId="1683BDC8" w:rsidR="00B966AE" w:rsidRDefault="00B966AE">
          <w:r>
            <w:rPr>
              <w:b/>
              <w:bCs/>
              <w:noProof/>
            </w:rPr>
            <w:fldChar w:fldCharType="end"/>
          </w:r>
        </w:p>
      </w:sdtContent>
    </w:sdt>
    <w:p w14:paraId="45D99E2D" w14:textId="77777777" w:rsidR="005C0B27" w:rsidRPr="005C0B27" w:rsidRDefault="005C0B27" w:rsidP="005C0B27">
      <w:pPr>
        <w:pStyle w:val="Heading2"/>
        <w:rPr>
          <w:lang w:val="en-US"/>
        </w:rPr>
      </w:pPr>
      <w:bookmarkStart w:id="2" w:name="_Toc184381041"/>
      <w:r w:rsidRPr="005C0B27">
        <w:rPr>
          <w:lang w:val="en-US"/>
        </w:rPr>
        <w:t>A message from the Chief Executive Officer</w:t>
      </w:r>
      <w:bookmarkEnd w:id="2"/>
    </w:p>
    <w:p w14:paraId="48960D66" w14:textId="77777777" w:rsidR="005C0B27" w:rsidRPr="005C0B27" w:rsidRDefault="005C0B27" w:rsidP="005C0B27">
      <w:pPr>
        <w:pStyle w:val="BodyText"/>
        <w:rPr>
          <w:lang w:val="en-US"/>
        </w:rPr>
      </w:pPr>
      <w:r w:rsidRPr="005C0B27">
        <w:rPr>
          <w:lang w:val="en-US"/>
        </w:rPr>
        <w:t>A</w:t>
      </w:r>
      <w:r w:rsidRPr="005C0B27">
        <w:t xml:space="preserve">t </w:t>
      </w:r>
      <w:r w:rsidRPr="005C0B27">
        <w:rPr>
          <w:lang w:val="en-US"/>
        </w:rPr>
        <w:t xml:space="preserve">Services Australia, we touch the lives of almost every Australian. Our payments, services and referrals are critical for people experiencing hardship. </w:t>
      </w:r>
    </w:p>
    <w:p w14:paraId="3F8CCEDB" w14:textId="77777777" w:rsidR="005C0B27" w:rsidRPr="005C0B27" w:rsidRDefault="005C0B27" w:rsidP="005C0B27">
      <w:pPr>
        <w:pStyle w:val="BodyText"/>
        <w:rPr>
          <w:lang w:val="en-US"/>
        </w:rPr>
      </w:pPr>
      <w:r w:rsidRPr="005C0B27">
        <w:rPr>
          <w:lang w:val="en-US"/>
        </w:rPr>
        <w:t xml:space="preserve">Providing access to inclusive, responsive, and accessible services is particularly important when supporting those affected by family and domestic violence. </w:t>
      </w:r>
    </w:p>
    <w:p w14:paraId="17E8885E" w14:textId="77777777" w:rsidR="005C0B27" w:rsidRPr="005C0B27" w:rsidRDefault="005C0B27" w:rsidP="005C0B27">
      <w:pPr>
        <w:pStyle w:val="BodyText"/>
        <w:rPr>
          <w:lang w:val="en-US"/>
        </w:rPr>
      </w:pPr>
      <w:r w:rsidRPr="005C0B27">
        <w:rPr>
          <w:lang w:val="en-US"/>
        </w:rPr>
        <w:t xml:space="preserve">As an agency, we support people of all genders affected by family and domestic violence. We also </w:t>
      </w:r>
      <w:proofErr w:type="spellStart"/>
      <w:r w:rsidRPr="005C0B27">
        <w:rPr>
          <w:lang w:val="en-US"/>
        </w:rPr>
        <w:t>recognise</w:t>
      </w:r>
      <w:proofErr w:type="spellEnd"/>
      <w:r w:rsidRPr="005C0B27">
        <w:rPr>
          <w:lang w:val="en-US"/>
        </w:rPr>
        <w:t xml:space="preserve"> that some people are at greater risk of violence and face challenges accessing support, due to their personal experiences, cultural or social identity.</w:t>
      </w:r>
    </w:p>
    <w:p w14:paraId="4EC44BB3" w14:textId="77777777" w:rsidR="005C0B27" w:rsidRPr="005C0B27" w:rsidRDefault="005C0B27" w:rsidP="005C0B27">
      <w:pPr>
        <w:pStyle w:val="BodyText"/>
        <w:rPr>
          <w:lang w:val="en-US"/>
        </w:rPr>
      </w:pPr>
      <w:r w:rsidRPr="005C0B27">
        <w:rPr>
          <w:lang w:val="en-US"/>
        </w:rPr>
        <w:t>It’s our collective responsibility to safely connect our customers to the payments, services and referrals they need.</w:t>
      </w:r>
    </w:p>
    <w:p w14:paraId="5B98EBCA" w14:textId="66037058" w:rsidR="005C0B27" w:rsidRPr="00701EE9" w:rsidRDefault="005C0B27" w:rsidP="005C0B27">
      <w:pPr>
        <w:pStyle w:val="BodyText"/>
      </w:pPr>
      <w:r w:rsidRPr="005C0B27">
        <w:rPr>
          <w:lang w:val="en-US"/>
        </w:rPr>
        <w:t>The National Plan to End Violence Against Women and Children 2022</w:t>
      </w:r>
      <w:r>
        <w:rPr>
          <w:rFonts w:cs="Arial"/>
          <w:lang w:val="en-US"/>
        </w:rPr>
        <w:t>–</w:t>
      </w:r>
      <w:r w:rsidRPr="005C0B27">
        <w:rPr>
          <w:lang w:val="en-US"/>
        </w:rPr>
        <w:t xml:space="preserve">32 (National Plan) provides a framework for our ongoing efforts. </w:t>
      </w:r>
      <w:r w:rsidR="00701EE9" w:rsidRPr="00701EE9">
        <w:t>The agency will continue to create an environment where customers and staff feel comfortable reaching out for support. We'll adopt systems and processes which are simple and safe for customers to use.</w:t>
      </w:r>
      <w:r w:rsidRPr="005C0B27">
        <w:rPr>
          <w:lang w:val="en-US"/>
        </w:rPr>
        <w:t xml:space="preserve"> We’ll also work in partnership with the community, peak bodies and government to drive change and help keep our customers safe.</w:t>
      </w:r>
    </w:p>
    <w:p w14:paraId="149A9574" w14:textId="77777777" w:rsidR="005C0B27" w:rsidRPr="005C0B27" w:rsidRDefault="005C0B27" w:rsidP="005C0B27">
      <w:pPr>
        <w:pStyle w:val="BodyText"/>
        <w:rPr>
          <w:lang w:val="en-US"/>
        </w:rPr>
      </w:pPr>
      <w:r w:rsidRPr="005C0B27">
        <w:rPr>
          <w:lang w:val="en-US"/>
        </w:rPr>
        <w:t>We’ll never lose sight of the important role we play in supporting people affected by family and domestic violence. Together, we can make a difference.</w:t>
      </w:r>
    </w:p>
    <w:p w14:paraId="29839980" w14:textId="77777777" w:rsidR="005C0B27" w:rsidRPr="005C0B27" w:rsidRDefault="005C0B27" w:rsidP="005C0B27">
      <w:pPr>
        <w:pStyle w:val="BodyText"/>
        <w:rPr>
          <w:b/>
          <w:bCs/>
          <w:lang w:val="en-US"/>
        </w:rPr>
      </w:pPr>
      <w:r w:rsidRPr="005C0B27">
        <w:rPr>
          <w:b/>
          <w:bCs/>
          <w:lang w:val="en-US"/>
        </w:rPr>
        <w:lastRenderedPageBreak/>
        <w:t>David Hazlehurst</w:t>
      </w:r>
    </w:p>
    <w:p w14:paraId="25B66C01" w14:textId="77777777" w:rsidR="005C0B27" w:rsidRDefault="005C0B27" w:rsidP="005C0B27">
      <w:pPr>
        <w:pStyle w:val="BodyText"/>
        <w:rPr>
          <w:lang w:val="en-US"/>
        </w:rPr>
      </w:pPr>
      <w:r w:rsidRPr="005C0B27">
        <w:rPr>
          <w:lang w:val="en-US"/>
        </w:rPr>
        <w:t>Chief Executive Officer</w:t>
      </w:r>
    </w:p>
    <w:p w14:paraId="23325993" w14:textId="625A2845" w:rsidR="005C0B27" w:rsidRPr="005C0B27" w:rsidRDefault="005C0B27" w:rsidP="005C0B27">
      <w:pPr>
        <w:pStyle w:val="BodyText"/>
        <w:rPr>
          <w:lang w:val="en-US"/>
        </w:rPr>
      </w:pPr>
      <w:r w:rsidRPr="005C0B27">
        <w:rPr>
          <w:lang w:val="en-US"/>
        </w:rPr>
        <w:t>Services Australia</w:t>
      </w:r>
    </w:p>
    <w:p w14:paraId="54A7B0C5" w14:textId="77777777" w:rsidR="005C0B27" w:rsidRPr="005C0B27" w:rsidRDefault="005C0B27" w:rsidP="005C0B27">
      <w:pPr>
        <w:pStyle w:val="Heading2"/>
        <w:rPr>
          <w:lang w:val="en-US"/>
        </w:rPr>
      </w:pPr>
      <w:bookmarkStart w:id="3" w:name="_Toc184381042"/>
      <w:r w:rsidRPr="005C0B27">
        <w:rPr>
          <w:lang w:val="en-US"/>
        </w:rPr>
        <w:t>Our journey</w:t>
      </w:r>
      <w:bookmarkEnd w:id="3"/>
    </w:p>
    <w:p w14:paraId="40355BB2" w14:textId="77777777" w:rsidR="005C0B27" w:rsidRPr="005C0B27" w:rsidRDefault="005C0B27" w:rsidP="005C0B27">
      <w:pPr>
        <w:pStyle w:val="BodyText"/>
      </w:pPr>
      <w:r w:rsidRPr="005C0B27">
        <w:t xml:space="preserve">Services Australia is committed to supporting the privacy and safety of customers and staff, while providing a service to the community that is inclusive, responsive, and accessible. We have zero tolerance for abuse of any kind. </w:t>
      </w:r>
    </w:p>
    <w:p w14:paraId="5A0B853E" w14:textId="77777777" w:rsidR="005C0B27" w:rsidRPr="005C0B27" w:rsidRDefault="005C0B27" w:rsidP="005C0B27">
      <w:pPr>
        <w:pStyle w:val="BodyText"/>
      </w:pPr>
      <w:r w:rsidRPr="005C0B27">
        <w:t>Our agency plays a crucial role in supporting all people living with and experiencing family and domestic violence. We are often the first point of contact for people experiencing family and domestic violence. Our payments, services and referrals are critical in supporting people through these difficult times. Our staff are on the frontline of service delivery every day, working side by side with other workers in the community to better support people impacted by family and domestic violence.</w:t>
      </w:r>
    </w:p>
    <w:p w14:paraId="0703839A" w14:textId="77777777" w:rsidR="005C0B27" w:rsidRPr="005C0B27" w:rsidRDefault="005C0B27" w:rsidP="005C0B27">
      <w:pPr>
        <w:pStyle w:val="BodyText"/>
      </w:pPr>
      <w:r w:rsidRPr="005C0B27">
        <w:t xml:space="preserve">We have had a longstanding commitment to helping people experiencing family and domestic violence and finding ways we can help address it through our range of payments and services. Our strategies, policies and partnerships have informed our approach, underpinned by the government’s broader national frameworks. </w:t>
      </w:r>
    </w:p>
    <w:p w14:paraId="2CDC69E3" w14:textId="77777777" w:rsidR="005C0B27" w:rsidRDefault="005C0B27" w:rsidP="005C0B27">
      <w:pPr>
        <w:pStyle w:val="BodyText"/>
      </w:pPr>
      <w:r w:rsidRPr="005C0B27">
        <w:t xml:space="preserve">We have continually refined and strengthened our approach over time, with family and domestic violence supports now strongly embedded into our agency’s operating principles: </w:t>
      </w:r>
    </w:p>
    <w:p w14:paraId="6609D4B0" w14:textId="31BB5A22" w:rsidR="00B966AE" w:rsidRPr="00B966AE" w:rsidRDefault="00B966AE" w:rsidP="00B966AE">
      <w:pPr>
        <w:pStyle w:val="ListBullet"/>
      </w:pPr>
      <w:r w:rsidRPr="00B966AE">
        <w:rPr>
          <w:b/>
          <w:bCs/>
        </w:rPr>
        <w:t>Simple</w:t>
      </w:r>
      <w:r>
        <w:t xml:space="preserve"> </w:t>
      </w:r>
      <w:r>
        <w:rPr>
          <w:rFonts w:cs="Arial"/>
        </w:rPr>
        <w:t xml:space="preserve">– </w:t>
      </w:r>
      <w:r w:rsidRPr="00B966AE">
        <w:t>The support and information we provide to people experiencing family and domestic violence is simple by being accessible, clear, and easy to understand.</w:t>
      </w:r>
    </w:p>
    <w:p w14:paraId="22316292" w14:textId="4AA4715C" w:rsidR="00B966AE" w:rsidRPr="00B966AE" w:rsidRDefault="00B966AE" w:rsidP="00B966AE">
      <w:pPr>
        <w:pStyle w:val="ListBullet"/>
      </w:pPr>
      <w:r w:rsidRPr="00B966AE">
        <w:rPr>
          <w:b/>
          <w:bCs/>
        </w:rPr>
        <w:t>Helpful</w:t>
      </w:r>
      <w:r>
        <w:t xml:space="preserve"> </w:t>
      </w:r>
      <w:r>
        <w:rPr>
          <w:rFonts w:cs="Arial"/>
        </w:rPr>
        <w:t xml:space="preserve">– </w:t>
      </w:r>
      <w:r w:rsidRPr="00B966AE">
        <w:t>We know people experiencing family and domestic violence need our support, so we are helpful to ensure we safely connect to payments and services when this is needed.</w:t>
      </w:r>
    </w:p>
    <w:p w14:paraId="5B9F2D77" w14:textId="3C45CC12" w:rsidR="00B966AE" w:rsidRPr="00B966AE" w:rsidRDefault="00B966AE" w:rsidP="00B966AE">
      <w:pPr>
        <w:pStyle w:val="ListBullet"/>
      </w:pPr>
      <w:r w:rsidRPr="00B966AE">
        <w:rPr>
          <w:b/>
          <w:bCs/>
        </w:rPr>
        <w:t>Respectful</w:t>
      </w:r>
      <w:r>
        <w:t xml:space="preserve"> </w:t>
      </w:r>
      <w:r>
        <w:rPr>
          <w:rFonts w:cs="Arial"/>
        </w:rPr>
        <w:t xml:space="preserve">– </w:t>
      </w:r>
      <w:r w:rsidRPr="00B966AE">
        <w:t>Our interactions are respectful and acknowledge the diverse and complex lived experiences of the Australian community.</w:t>
      </w:r>
    </w:p>
    <w:p w14:paraId="04A01171" w14:textId="49D066FE" w:rsidR="00B966AE" w:rsidRPr="00B966AE" w:rsidRDefault="00B966AE" w:rsidP="00B966AE">
      <w:pPr>
        <w:pStyle w:val="ListBullet"/>
      </w:pPr>
      <w:r w:rsidRPr="00B966AE">
        <w:rPr>
          <w:b/>
          <w:bCs/>
        </w:rPr>
        <w:t>Transparent</w:t>
      </w:r>
      <w:r>
        <w:t xml:space="preserve"> </w:t>
      </w:r>
      <w:r>
        <w:rPr>
          <w:rFonts w:cs="Arial"/>
        </w:rPr>
        <w:t xml:space="preserve">– </w:t>
      </w:r>
      <w:r w:rsidRPr="00B966AE">
        <w:t xml:space="preserve">The support we provide, and the way in which we provide it is transparent, so everyone understands their options and responsibilities. </w:t>
      </w:r>
    </w:p>
    <w:p w14:paraId="60D37B56" w14:textId="77777777" w:rsidR="005C0B27" w:rsidRPr="005C0B27" w:rsidRDefault="005C0B27" w:rsidP="005C0B27">
      <w:pPr>
        <w:pStyle w:val="BodyText"/>
        <w:rPr>
          <w:lang w:val="en-US"/>
        </w:rPr>
      </w:pPr>
      <w:r w:rsidRPr="005C0B27">
        <w:rPr>
          <w:lang w:val="en-US"/>
        </w:rPr>
        <w:t xml:space="preserve">Our agency has had a Family and Domestic Violence Strategic Commitment in place since 2013 and were the first Commonwealth agency to develop a blueprint that informed our ongoing effort to support customers and staff affected by family and domestic violence. </w:t>
      </w:r>
    </w:p>
    <w:p w14:paraId="204798E6" w14:textId="77777777" w:rsidR="005C0B27" w:rsidRPr="005C0B27" w:rsidRDefault="005C0B27" w:rsidP="005C0B27">
      <w:pPr>
        <w:pStyle w:val="BodyText"/>
        <w:rPr>
          <w:lang w:val="en-US"/>
        </w:rPr>
      </w:pPr>
      <w:r w:rsidRPr="005C0B27">
        <w:rPr>
          <w:lang w:val="en-US"/>
        </w:rPr>
        <w:t xml:space="preserve">We have come a long way, but together, we can do more. </w:t>
      </w:r>
    </w:p>
    <w:p w14:paraId="75C16A25" w14:textId="77777777" w:rsidR="005C0B27" w:rsidRPr="005C0B27" w:rsidRDefault="005C0B27" w:rsidP="005C0B27">
      <w:pPr>
        <w:pStyle w:val="Heading2"/>
        <w:rPr>
          <w:lang w:val="en-US"/>
        </w:rPr>
      </w:pPr>
      <w:bookmarkStart w:id="4" w:name="_Toc184381043"/>
      <w:r w:rsidRPr="005C0B27">
        <w:rPr>
          <w:lang w:val="en-US"/>
        </w:rPr>
        <w:t>Our future</w:t>
      </w:r>
      <w:bookmarkEnd w:id="4"/>
      <w:r w:rsidRPr="005C0B27">
        <w:rPr>
          <w:lang w:val="en-US"/>
        </w:rPr>
        <w:t xml:space="preserve"> </w:t>
      </w:r>
    </w:p>
    <w:p w14:paraId="18120F4B" w14:textId="77777777" w:rsidR="005C0B27" w:rsidRPr="005C0B27" w:rsidRDefault="005C0B27" w:rsidP="005C0B27">
      <w:pPr>
        <w:pStyle w:val="BodyText"/>
        <w:rPr>
          <w:lang w:val="en-US"/>
        </w:rPr>
      </w:pPr>
      <w:r w:rsidRPr="005C0B27">
        <w:rPr>
          <w:lang w:val="en-US"/>
        </w:rPr>
        <w:t xml:space="preserve">We each have a role to play and must work together to end all violence. </w:t>
      </w:r>
    </w:p>
    <w:p w14:paraId="07E181D9" w14:textId="77777777" w:rsidR="005C0B27" w:rsidRPr="005C0B27" w:rsidRDefault="005C0B27" w:rsidP="005C0B27">
      <w:pPr>
        <w:pStyle w:val="BodyText"/>
        <w:rPr>
          <w:lang w:val="en-US"/>
        </w:rPr>
      </w:pPr>
      <w:r w:rsidRPr="005C0B27">
        <w:rPr>
          <w:lang w:val="en-US"/>
        </w:rPr>
        <w:t xml:space="preserve">All areas of government have aligned efforts to release the </w:t>
      </w:r>
      <w:r w:rsidRPr="005C0B27">
        <w:rPr>
          <w:i/>
          <w:iCs/>
          <w:lang w:val="en-US"/>
        </w:rPr>
        <w:t>National Plan to End Violence against Women and Children 2022–32</w:t>
      </w:r>
      <w:r w:rsidRPr="005C0B27">
        <w:rPr>
          <w:lang w:val="en-US"/>
        </w:rPr>
        <w:t xml:space="preserve"> (National Plan). This guides how we uphold and define our role as a key agency to support Australians and end violence against women and children. </w:t>
      </w:r>
    </w:p>
    <w:p w14:paraId="713F0DE3" w14:textId="77777777" w:rsidR="005C0B27" w:rsidRPr="005C0B27" w:rsidRDefault="005C0B27" w:rsidP="005C0B27">
      <w:pPr>
        <w:pStyle w:val="BodyText"/>
        <w:rPr>
          <w:lang w:val="en-US"/>
        </w:rPr>
      </w:pPr>
      <w:r w:rsidRPr="005C0B27">
        <w:rPr>
          <w:lang w:val="en-US"/>
        </w:rPr>
        <w:t xml:space="preserve">The National Plan provides the framework for our way forward to end violence against women and children in the next decade, </w:t>
      </w:r>
      <w:proofErr w:type="spellStart"/>
      <w:r w:rsidRPr="005C0B27">
        <w:rPr>
          <w:lang w:val="en-US"/>
        </w:rPr>
        <w:t>emphasising</w:t>
      </w:r>
      <w:proofErr w:type="spellEnd"/>
      <w:r w:rsidRPr="005C0B27">
        <w:rPr>
          <w:lang w:val="en-US"/>
        </w:rPr>
        <w:t xml:space="preserve"> that everyone in the community and all levels of a society must work together to end family and domestic gender-based violence. </w:t>
      </w:r>
    </w:p>
    <w:p w14:paraId="1B04B62D" w14:textId="77777777" w:rsidR="005C0B27" w:rsidRPr="005C0B27" w:rsidRDefault="005C0B27" w:rsidP="005C0B27">
      <w:pPr>
        <w:pStyle w:val="BodyText"/>
        <w:rPr>
          <w:lang w:val="en-US"/>
        </w:rPr>
      </w:pPr>
      <w:r w:rsidRPr="005C0B27">
        <w:rPr>
          <w:lang w:val="en-US"/>
        </w:rPr>
        <w:lastRenderedPageBreak/>
        <w:t xml:space="preserve">At Services Australia, we are formally aligning our strategic commitment to the National Plan, supporting all people who experience family and domestic violence. The </w:t>
      </w:r>
      <w:r w:rsidRPr="005C0B27">
        <w:rPr>
          <w:i/>
          <w:iCs/>
          <w:lang w:val="en-US"/>
        </w:rPr>
        <w:t>Aboriginal and Torres Strait Islander Action Plan (2023 – 2025)</w:t>
      </w:r>
      <w:r w:rsidRPr="005C0B27">
        <w:rPr>
          <w:lang w:val="en-US"/>
        </w:rPr>
        <w:t xml:space="preserve"> and the </w:t>
      </w:r>
      <w:r w:rsidRPr="005C0B27">
        <w:rPr>
          <w:i/>
          <w:iCs/>
          <w:lang w:val="en-US"/>
        </w:rPr>
        <w:t>First Action Plan (2023–2027)</w:t>
      </w:r>
      <w:r w:rsidRPr="005C0B27">
        <w:rPr>
          <w:lang w:val="en-US"/>
        </w:rPr>
        <w:t xml:space="preserve"> outline how we will make the commitments a reality. They were developed in consultation with people with lived experience of family and domestic violence. They set out the initial scope of activities, areas for action and responsibility with respect to outcomes. </w:t>
      </w:r>
    </w:p>
    <w:p w14:paraId="1ECDA7CE" w14:textId="77777777" w:rsidR="005C0B27" w:rsidRPr="005C0B27" w:rsidRDefault="005C0B27" w:rsidP="005C0B27">
      <w:pPr>
        <w:pStyle w:val="BodyText"/>
        <w:rPr>
          <w:lang w:val="en-US"/>
        </w:rPr>
      </w:pPr>
      <w:r w:rsidRPr="005C0B27">
        <w:rPr>
          <w:lang w:val="en-US"/>
        </w:rPr>
        <w:t xml:space="preserve">Over the next 5 years, we will use the plans to guide our actions, initiatives, responses, and partnerships when supporting people experiencing family and domestic violence. </w:t>
      </w:r>
    </w:p>
    <w:p w14:paraId="52AB39F0" w14:textId="77777777" w:rsidR="005C0B27" w:rsidRPr="005C0B27" w:rsidRDefault="005C0B27" w:rsidP="005C0B27">
      <w:pPr>
        <w:pStyle w:val="BodyText"/>
        <w:rPr>
          <w:lang w:val="en-US"/>
        </w:rPr>
      </w:pPr>
      <w:r w:rsidRPr="005C0B27">
        <w:rPr>
          <w:lang w:val="en-US"/>
        </w:rPr>
        <w:t xml:space="preserve">We also acknowledge that anyone, of any gender, in any relationship, including those involving carers, relatives or guardians, kinship groups, and other family groups </w:t>
      </w:r>
      <w:proofErr w:type="spellStart"/>
      <w:r w:rsidRPr="005C0B27">
        <w:rPr>
          <w:lang w:val="en-US"/>
        </w:rPr>
        <w:t>recognised</w:t>
      </w:r>
      <w:proofErr w:type="spellEnd"/>
      <w:r w:rsidRPr="005C0B27">
        <w:rPr>
          <w:lang w:val="en-US"/>
        </w:rPr>
        <w:t xml:space="preserve"> by various cultures and communities, can experience family and domestic violence. Additionally, we acknowledge that different aspects of a person’s life and identity can expose them to overlapping forms of </w:t>
      </w:r>
      <w:proofErr w:type="spellStart"/>
      <w:r w:rsidRPr="005C0B27">
        <w:rPr>
          <w:lang w:val="en-US"/>
        </w:rPr>
        <w:t>marginalisation</w:t>
      </w:r>
      <w:proofErr w:type="spellEnd"/>
      <w:r w:rsidRPr="005C0B27">
        <w:rPr>
          <w:lang w:val="en-US"/>
        </w:rPr>
        <w:t xml:space="preserve"> and discrimination that could increase the risk of severity and frequency of experiencing different types of violence.</w:t>
      </w:r>
    </w:p>
    <w:p w14:paraId="0DDA9D8F" w14:textId="77777777" w:rsidR="005C0B27" w:rsidRPr="005C0B27" w:rsidRDefault="005C0B27" w:rsidP="005C0B27">
      <w:pPr>
        <w:pStyle w:val="BodyText"/>
        <w:rPr>
          <w:lang w:val="en-US"/>
        </w:rPr>
      </w:pPr>
      <w:r w:rsidRPr="005C0B27">
        <w:rPr>
          <w:lang w:val="en-US"/>
        </w:rPr>
        <w:t xml:space="preserve">We also know that coercive control underpins almost all forms of family and domestic violence. The </w:t>
      </w:r>
      <w:r w:rsidRPr="005C0B27">
        <w:rPr>
          <w:i/>
          <w:iCs/>
          <w:lang w:val="en-US"/>
        </w:rPr>
        <w:t>National Principles to Address Coercive Control in Family and Domestic Violence</w:t>
      </w:r>
      <w:r w:rsidRPr="005C0B27">
        <w:rPr>
          <w:lang w:val="en-US"/>
        </w:rPr>
        <w:t xml:space="preserve"> have been developed and endorsed by all Australian governments. These principles will continue to shape and strengthen our support for all people experiencing family and domestic violence. </w:t>
      </w:r>
    </w:p>
    <w:p w14:paraId="6FF1D509" w14:textId="77777777" w:rsidR="005C0B27" w:rsidRPr="005C0B27" w:rsidRDefault="005C0B27" w:rsidP="005C0B27">
      <w:pPr>
        <w:pStyle w:val="Heading2"/>
        <w:rPr>
          <w:lang w:val="en-US"/>
        </w:rPr>
      </w:pPr>
      <w:bookmarkStart w:id="5" w:name="_Toc184381044"/>
      <w:r w:rsidRPr="005C0B27">
        <w:rPr>
          <w:lang w:val="en-US"/>
        </w:rPr>
        <w:t>Our commitment</w:t>
      </w:r>
      <w:bookmarkEnd w:id="5"/>
    </w:p>
    <w:p w14:paraId="2B86B168" w14:textId="77777777" w:rsidR="005C0B27" w:rsidRPr="005C0B27" w:rsidRDefault="005C0B27" w:rsidP="005C0B27">
      <w:pPr>
        <w:pStyle w:val="Heading3"/>
        <w:rPr>
          <w:lang w:val="en-US"/>
        </w:rPr>
      </w:pPr>
      <w:bookmarkStart w:id="6" w:name="_Toc184381045"/>
      <w:r w:rsidRPr="005C0B27">
        <w:rPr>
          <w:lang w:val="en-US"/>
        </w:rPr>
        <w:t>As a service provider and government agency</w:t>
      </w:r>
      <w:bookmarkEnd w:id="6"/>
      <w:r w:rsidRPr="005C0B27">
        <w:rPr>
          <w:lang w:val="en-US"/>
        </w:rPr>
        <w:t xml:space="preserve"> </w:t>
      </w:r>
    </w:p>
    <w:p w14:paraId="6950B56D" w14:textId="77777777" w:rsidR="005C0B27" w:rsidRPr="005C0B27" w:rsidRDefault="005C0B27" w:rsidP="005C0B27">
      <w:pPr>
        <w:pStyle w:val="BodyText"/>
        <w:rPr>
          <w:lang w:val="en-US"/>
        </w:rPr>
      </w:pPr>
      <w:r w:rsidRPr="005C0B27">
        <w:rPr>
          <w:lang w:val="en-US"/>
        </w:rPr>
        <w:t xml:space="preserve">We connect community to the payments and services they need, working in partnership with the community and government sectors to drive cultural change. </w:t>
      </w:r>
    </w:p>
    <w:p w14:paraId="584CFDD9" w14:textId="77777777" w:rsidR="005C0B27" w:rsidRDefault="005C0B27" w:rsidP="005C0B27">
      <w:pPr>
        <w:pStyle w:val="BodyText"/>
        <w:rPr>
          <w:lang w:val="en-US"/>
        </w:rPr>
      </w:pPr>
      <w:r w:rsidRPr="005C0B27">
        <w:rPr>
          <w:lang w:val="en-US"/>
        </w:rPr>
        <w:t xml:space="preserve">We support our community by: </w:t>
      </w:r>
    </w:p>
    <w:p w14:paraId="2383D71A" w14:textId="77777777" w:rsidR="005C0B27" w:rsidRPr="005C0B27" w:rsidRDefault="005C0B27" w:rsidP="005C0B27">
      <w:pPr>
        <w:pStyle w:val="ListBullet"/>
        <w:rPr>
          <w:lang w:val="en-US"/>
        </w:rPr>
      </w:pPr>
      <w:r w:rsidRPr="005C0B27">
        <w:rPr>
          <w:lang w:val="en-US"/>
        </w:rPr>
        <w:t>ensuring at-risk customers are identified, connected safely and quickly to appropriate support within the agency, as well as external supports if needed</w:t>
      </w:r>
    </w:p>
    <w:p w14:paraId="13DFB50C" w14:textId="77777777" w:rsidR="005C0B27" w:rsidRPr="005C0B27" w:rsidRDefault="005C0B27" w:rsidP="005C0B27">
      <w:pPr>
        <w:pStyle w:val="ListBullet"/>
        <w:rPr>
          <w:lang w:val="en-US"/>
        </w:rPr>
      </w:pPr>
      <w:r w:rsidRPr="005C0B27">
        <w:rPr>
          <w:lang w:val="en-US"/>
        </w:rPr>
        <w:t>protecting the privacy of our customers affected by family and domestic violence</w:t>
      </w:r>
    </w:p>
    <w:p w14:paraId="08315478" w14:textId="77777777" w:rsidR="005C0B27" w:rsidRPr="005C0B27" w:rsidRDefault="005C0B27" w:rsidP="005C0B27">
      <w:pPr>
        <w:pStyle w:val="ListBullet"/>
        <w:rPr>
          <w:lang w:val="en-US"/>
        </w:rPr>
      </w:pPr>
      <w:proofErr w:type="spellStart"/>
      <w:r w:rsidRPr="005C0B27">
        <w:rPr>
          <w:lang w:val="en-US"/>
        </w:rPr>
        <w:t>minimising</w:t>
      </w:r>
      <w:proofErr w:type="spellEnd"/>
      <w:r w:rsidRPr="005C0B27">
        <w:rPr>
          <w:lang w:val="en-US"/>
        </w:rPr>
        <w:t xml:space="preserve"> the ability for the agency to be used as a means of financial coercive control</w:t>
      </w:r>
    </w:p>
    <w:p w14:paraId="67824187" w14:textId="77777777" w:rsidR="005C0B27" w:rsidRPr="005C0B27" w:rsidRDefault="005C0B27" w:rsidP="005C0B27">
      <w:pPr>
        <w:pStyle w:val="ListBullet"/>
        <w:rPr>
          <w:lang w:val="en-US"/>
        </w:rPr>
      </w:pPr>
      <w:r w:rsidRPr="005C0B27">
        <w:rPr>
          <w:lang w:val="en-US"/>
        </w:rPr>
        <w:t>partnering with Aboriginal and Torres Strait Islander communities, so their cultural expertise is part of our co-design approach to preventing and responding to family and domestic violence</w:t>
      </w:r>
    </w:p>
    <w:p w14:paraId="0B18D241" w14:textId="77777777" w:rsidR="005C0B27" w:rsidRPr="005C0B27" w:rsidRDefault="005C0B27" w:rsidP="005C0B27">
      <w:pPr>
        <w:pStyle w:val="ListBullet"/>
        <w:rPr>
          <w:lang w:val="en-US"/>
        </w:rPr>
      </w:pPr>
      <w:r w:rsidRPr="005C0B27">
        <w:rPr>
          <w:lang w:val="en-US"/>
        </w:rPr>
        <w:t>co-designing family and domestic violence initiatives with and for those who have lived experiences, acknowledging that family and domestic violence expertise rests within the community</w:t>
      </w:r>
    </w:p>
    <w:p w14:paraId="5246C4E7" w14:textId="77777777" w:rsidR="005C0B27" w:rsidRPr="005C0B27" w:rsidRDefault="005C0B27" w:rsidP="005C0B27">
      <w:pPr>
        <w:pStyle w:val="ListBullet"/>
        <w:rPr>
          <w:lang w:val="en-US"/>
        </w:rPr>
      </w:pPr>
      <w:r w:rsidRPr="005C0B27">
        <w:rPr>
          <w:lang w:val="en-US"/>
        </w:rPr>
        <w:t>working in partnership with our policy agencies, customers, staff, peak bodies, and community groups to continue embedding the principles of the National Plans into everything we do</w:t>
      </w:r>
    </w:p>
    <w:p w14:paraId="7FFCC215" w14:textId="77777777" w:rsidR="005C0B27" w:rsidRPr="005C0B27" w:rsidRDefault="005C0B27" w:rsidP="005C0B27">
      <w:pPr>
        <w:pStyle w:val="ListBullet"/>
        <w:rPr>
          <w:lang w:val="en-US"/>
        </w:rPr>
      </w:pPr>
      <w:r w:rsidRPr="005C0B27">
        <w:rPr>
          <w:lang w:val="en-US"/>
        </w:rPr>
        <w:t xml:space="preserve">contributing service delivery expertise and the voice of the customer as part of our engagement with our policy partners </w:t>
      </w:r>
    </w:p>
    <w:p w14:paraId="14584130" w14:textId="7683FEEC" w:rsidR="005C0B27" w:rsidRPr="005C0B27" w:rsidRDefault="005C0B27" w:rsidP="005C0B27">
      <w:pPr>
        <w:pStyle w:val="ListBullet"/>
        <w:rPr>
          <w:lang w:val="en-US"/>
        </w:rPr>
      </w:pPr>
      <w:r w:rsidRPr="005C0B27">
        <w:rPr>
          <w:lang w:val="en-US"/>
        </w:rPr>
        <w:t>collaborating with influence across government to continually embed customer and staff safety into initiatives, strategies, frameworks, design tools, resources, and processes.</w:t>
      </w:r>
    </w:p>
    <w:p w14:paraId="18C994F3" w14:textId="77777777" w:rsidR="005C0B27" w:rsidRPr="005C0B27" w:rsidRDefault="005C0B27" w:rsidP="005C0B27">
      <w:pPr>
        <w:pStyle w:val="Heading3"/>
        <w:rPr>
          <w:lang w:val="en-US"/>
        </w:rPr>
      </w:pPr>
      <w:bookmarkStart w:id="7" w:name="_Toc184381046"/>
      <w:r w:rsidRPr="005C0B27">
        <w:rPr>
          <w:lang w:val="en-US"/>
        </w:rPr>
        <w:lastRenderedPageBreak/>
        <w:t>As an employer</w:t>
      </w:r>
      <w:bookmarkEnd w:id="7"/>
    </w:p>
    <w:p w14:paraId="0863DED6" w14:textId="77777777" w:rsidR="005C0B27" w:rsidRPr="005C0B27" w:rsidRDefault="005C0B27" w:rsidP="005C0B27">
      <w:pPr>
        <w:pStyle w:val="BodyText"/>
        <w:rPr>
          <w:lang w:val="en-US"/>
        </w:rPr>
      </w:pPr>
      <w:r w:rsidRPr="005C0B27">
        <w:rPr>
          <w:lang w:val="en-US"/>
        </w:rPr>
        <w:t xml:space="preserve">As the largest service delivery agency in government, our staff represent the diversity of the Australian community. We are everyday people providing essential support to our communities, and our staff are our greatest asset in achieving this. </w:t>
      </w:r>
    </w:p>
    <w:p w14:paraId="7A685FD3" w14:textId="77777777" w:rsidR="005C0B27" w:rsidRPr="005C0B27" w:rsidRDefault="005C0B27" w:rsidP="005C0B27">
      <w:pPr>
        <w:pStyle w:val="BodyText"/>
        <w:rPr>
          <w:lang w:val="en-US"/>
        </w:rPr>
      </w:pPr>
      <w:r w:rsidRPr="005C0B27">
        <w:rPr>
          <w:lang w:val="en-US"/>
        </w:rPr>
        <w:t xml:space="preserve">We will support our workforce by: </w:t>
      </w:r>
    </w:p>
    <w:p w14:paraId="6A2F7D42" w14:textId="77777777" w:rsidR="005C0B27" w:rsidRPr="005C0B27" w:rsidRDefault="005C0B27" w:rsidP="005C0B27">
      <w:pPr>
        <w:pStyle w:val="ListBullet"/>
        <w:rPr>
          <w:lang w:val="en-US"/>
        </w:rPr>
      </w:pPr>
      <w:r w:rsidRPr="005C0B27">
        <w:rPr>
          <w:lang w:val="en-US"/>
        </w:rPr>
        <w:t xml:space="preserve">providing a safe and supportive workplace for staff, taking a trauma-informed approach, and having a safe service focus </w:t>
      </w:r>
    </w:p>
    <w:p w14:paraId="3AE54BAF" w14:textId="77777777" w:rsidR="005C0B27" w:rsidRPr="005C0B27" w:rsidRDefault="005C0B27" w:rsidP="005C0B27">
      <w:pPr>
        <w:pStyle w:val="ListBullet"/>
        <w:rPr>
          <w:lang w:val="en-US"/>
        </w:rPr>
      </w:pPr>
      <w:r w:rsidRPr="005C0B27">
        <w:rPr>
          <w:lang w:val="en-US"/>
        </w:rPr>
        <w:t>ensuring staff affected by family and domestic violence are provided with a safe environment, are encouraged to speak out, and are connected sensitively with the right support, if needed</w:t>
      </w:r>
    </w:p>
    <w:p w14:paraId="099548FA" w14:textId="77777777" w:rsidR="005C0B27" w:rsidRPr="005C0B27" w:rsidRDefault="005C0B27" w:rsidP="005C0B27">
      <w:pPr>
        <w:pStyle w:val="ListBullet"/>
        <w:rPr>
          <w:lang w:val="en-US"/>
        </w:rPr>
      </w:pPr>
      <w:r w:rsidRPr="005C0B27">
        <w:rPr>
          <w:lang w:val="en-US"/>
        </w:rPr>
        <w:t>ensuring staff are trained and aware of family and domestic violence</w:t>
      </w:r>
    </w:p>
    <w:p w14:paraId="57D9349D" w14:textId="3F1D4E7A" w:rsidR="005C0B27" w:rsidRPr="005C0B27" w:rsidRDefault="005C0B27" w:rsidP="005C0B27">
      <w:pPr>
        <w:pStyle w:val="ListBullet"/>
        <w:rPr>
          <w:lang w:val="en-US"/>
        </w:rPr>
      </w:pPr>
      <w:r w:rsidRPr="005C0B27">
        <w:rPr>
          <w:lang w:val="en-US"/>
        </w:rPr>
        <w:t>continually strengthening the capability of our staff by aligning our family and domestic violence training with community best practice, so that our staff feel supported to safely provide customer service outcomes and better outcomes for their colleagues.</w:t>
      </w:r>
    </w:p>
    <w:p w14:paraId="00B53E7B" w14:textId="77777777" w:rsidR="005C0B27" w:rsidRPr="005C0B27" w:rsidRDefault="005C0B27" w:rsidP="005C0B27">
      <w:pPr>
        <w:pStyle w:val="Heading2"/>
        <w:rPr>
          <w:lang w:val="en-US"/>
        </w:rPr>
      </w:pPr>
      <w:bookmarkStart w:id="8" w:name="_Toc184381047"/>
      <w:r w:rsidRPr="005C0B27">
        <w:rPr>
          <w:lang w:val="en-US"/>
        </w:rPr>
        <w:t>Reporting on our progress</w:t>
      </w:r>
      <w:bookmarkEnd w:id="8"/>
      <w:r w:rsidRPr="005C0B27">
        <w:rPr>
          <w:lang w:val="en-US"/>
        </w:rPr>
        <w:t xml:space="preserve"> </w:t>
      </w:r>
    </w:p>
    <w:p w14:paraId="442A97FA" w14:textId="77777777" w:rsidR="005C0B27" w:rsidRPr="005C0B27" w:rsidRDefault="005C0B27" w:rsidP="005C0B27">
      <w:pPr>
        <w:pStyle w:val="BodyText"/>
        <w:rPr>
          <w:lang w:val="en-US"/>
        </w:rPr>
      </w:pPr>
      <w:r w:rsidRPr="005C0B27">
        <w:rPr>
          <w:lang w:val="en-US"/>
        </w:rPr>
        <w:t xml:space="preserve">As we move through the next 5 years, we will report our progress and achievements through the existing mechanisms established under the National Plan. </w:t>
      </w:r>
    </w:p>
    <w:p w14:paraId="31151A81" w14:textId="77777777" w:rsidR="005C0B27" w:rsidRPr="005C0B27" w:rsidRDefault="005C0B27" w:rsidP="005C0B27">
      <w:pPr>
        <w:pStyle w:val="BodyText"/>
        <w:rPr>
          <w:lang w:val="en-US"/>
        </w:rPr>
      </w:pPr>
      <w:r w:rsidRPr="005C0B27">
        <w:rPr>
          <w:lang w:val="en-US"/>
        </w:rPr>
        <w:t xml:space="preserve">We will also continue to collaborate with people with lived experience to strengthen our efforts and improve service responses. </w:t>
      </w:r>
    </w:p>
    <w:p w14:paraId="3D81ACD1" w14:textId="77777777" w:rsidR="005C0B27" w:rsidRPr="005C0B27" w:rsidRDefault="005C0B27" w:rsidP="005C0B27">
      <w:pPr>
        <w:pStyle w:val="BodyText"/>
        <w:rPr>
          <w:lang w:val="en-US"/>
        </w:rPr>
      </w:pPr>
      <w:r w:rsidRPr="005C0B27">
        <w:rPr>
          <w:lang w:val="en-US"/>
        </w:rPr>
        <w:t xml:space="preserve">This is so that we are at the forefront of the national effort to end family and domestic violence. </w:t>
      </w:r>
    </w:p>
    <w:p w14:paraId="228A5A58" w14:textId="77777777" w:rsidR="005C0B27" w:rsidRPr="005C0B27" w:rsidRDefault="005C0B27" w:rsidP="005C0B27">
      <w:pPr>
        <w:pStyle w:val="BodyText"/>
        <w:rPr>
          <w:lang w:val="en-US"/>
        </w:rPr>
      </w:pPr>
      <w:r w:rsidRPr="005C0B27">
        <w:rPr>
          <w:lang w:val="en-US"/>
        </w:rPr>
        <w:t>Together, we can make a difference.</w:t>
      </w:r>
    </w:p>
    <w:p w14:paraId="0144D39F" w14:textId="77777777" w:rsidR="005C0B27" w:rsidRPr="005C0B27" w:rsidRDefault="005C0B27" w:rsidP="005C0B27">
      <w:pPr>
        <w:pStyle w:val="Heading3"/>
        <w:rPr>
          <w:lang w:val="en-US"/>
        </w:rPr>
      </w:pPr>
      <w:bookmarkStart w:id="9" w:name="_Toc184381048"/>
      <w:r w:rsidRPr="005C0B27">
        <w:rPr>
          <w:lang w:val="en-US"/>
        </w:rPr>
        <w:t>Family and Domestic Violence (FDV) definition:</w:t>
      </w:r>
      <w:bookmarkEnd w:id="9"/>
      <w:r w:rsidRPr="005C0B27">
        <w:rPr>
          <w:lang w:val="en-US"/>
        </w:rPr>
        <w:t xml:space="preserve"> </w:t>
      </w:r>
    </w:p>
    <w:p w14:paraId="48771942" w14:textId="77777777" w:rsidR="005C0B27" w:rsidRPr="005C0B27" w:rsidRDefault="005C0B27" w:rsidP="005C0B27">
      <w:pPr>
        <w:pStyle w:val="BodyText"/>
        <w:rPr>
          <w:lang w:val="en-US"/>
        </w:rPr>
      </w:pPr>
      <w:r w:rsidRPr="005C0B27">
        <w:rPr>
          <w:lang w:val="en-US"/>
        </w:rPr>
        <w:t xml:space="preserve">Family and domestic violence is any </w:t>
      </w:r>
      <w:proofErr w:type="spellStart"/>
      <w:r w:rsidRPr="005C0B27">
        <w:rPr>
          <w:lang w:val="en-US"/>
        </w:rPr>
        <w:t>behaviour</w:t>
      </w:r>
      <w:proofErr w:type="spellEnd"/>
      <w:r w:rsidRPr="005C0B27">
        <w:rPr>
          <w:lang w:val="en-US"/>
        </w:rPr>
        <w:t xml:space="preserve"> that is violent, threatening, coercive or controlling, or causes a person to be fearful. It includes:</w:t>
      </w:r>
    </w:p>
    <w:p w14:paraId="1C10D00C" w14:textId="77777777" w:rsidR="005C0B27" w:rsidRPr="005C0B27" w:rsidRDefault="005C0B27" w:rsidP="005C0B27">
      <w:pPr>
        <w:pStyle w:val="ListBullet"/>
        <w:rPr>
          <w:lang w:val="en-US"/>
        </w:rPr>
      </w:pPr>
      <w:r w:rsidRPr="005C0B27">
        <w:rPr>
          <w:lang w:val="en-US"/>
        </w:rPr>
        <w:t xml:space="preserve">exposing a child to any of these </w:t>
      </w:r>
      <w:proofErr w:type="spellStart"/>
      <w:r w:rsidRPr="005C0B27">
        <w:rPr>
          <w:lang w:val="en-US"/>
        </w:rPr>
        <w:t>behaviours</w:t>
      </w:r>
      <w:proofErr w:type="spellEnd"/>
      <w:r w:rsidRPr="005C0B27">
        <w:rPr>
          <w:lang w:val="en-US"/>
        </w:rPr>
        <w:t xml:space="preserve"> (child abuse)</w:t>
      </w:r>
    </w:p>
    <w:p w14:paraId="12C7C531" w14:textId="4C0A1DD9" w:rsidR="005C0B27" w:rsidRPr="00D476CA" w:rsidRDefault="005C0B27" w:rsidP="005C0B27">
      <w:pPr>
        <w:pStyle w:val="ListBullet"/>
      </w:pPr>
      <w:r w:rsidRPr="005C0B27">
        <w:rPr>
          <w:lang w:val="en-US"/>
        </w:rPr>
        <w:t>act of violence or mistreatment that causes harm or distress to an older person (elder abuse), carer or care receiver (carer neglect or abuse).</w:t>
      </w:r>
    </w:p>
    <w:p w14:paraId="79DB2E3E" w14:textId="675EC976" w:rsidR="005C0B27" w:rsidRPr="00D476CA" w:rsidRDefault="005C0B27" w:rsidP="00D476CA">
      <w:pPr>
        <w:pStyle w:val="ProductCode"/>
        <w:rPr>
          <w:lang w:val="en-AU"/>
        </w:rPr>
      </w:pPr>
      <w:r w:rsidRPr="00D476CA">
        <w:rPr>
          <w:lang w:val="en-AU"/>
        </w:rPr>
        <w:t>12899.2412</w:t>
      </w:r>
    </w:p>
    <w:sectPr w:rsidR="005C0B27" w:rsidRPr="00D476CA" w:rsidSect="005C0B2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65A5" w14:textId="77777777" w:rsidR="005C0B27" w:rsidRDefault="005C0B27" w:rsidP="00C77FE4">
      <w:r>
        <w:separator/>
      </w:r>
    </w:p>
  </w:endnote>
  <w:endnote w:type="continuationSeparator" w:id="0">
    <w:p w14:paraId="27C456F5" w14:textId="77777777" w:rsidR="005C0B27" w:rsidRDefault="005C0B27"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887B2" w14:textId="77777777" w:rsidR="005C0B27" w:rsidRDefault="005C0B27" w:rsidP="00C77FE4">
      <w:r>
        <w:separator/>
      </w:r>
    </w:p>
  </w:footnote>
  <w:footnote w:type="continuationSeparator" w:id="0">
    <w:p w14:paraId="640F3706" w14:textId="77777777" w:rsidR="005C0B27" w:rsidRDefault="005C0B27"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6356444">
    <w:abstractNumId w:val="9"/>
  </w:num>
  <w:num w:numId="2" w16cid:durableId="895044304">
    <w:abstractNumId w:val="7"/>
  </w:num>
  <w:num w:numId="3" w16cid:durableId="1661956647">
    <w:abstractNumId w:val="6"/>
  </w:num>
  <w:num w:numId="4" w16cid:durableId="130482251">
    <w:abstractNumId w:val="5"/>
  </w:num>
  <w:num w:numId="5" w16cid:durableId="676075404">
    <w:abstractNumId w:val="4"/>
  </w:num>
  <w:num w:numId="6" w16cid:durableId="471682097">
    <w:abstractNumId w:val="8"/>
  </w:num>
  <w:num w:numId="7" w16cid:durableId="887454759">
    <w:abstractNumId w:val="3"/>
  </w:num>
  <w:num w:numId="8" w16cid:durableId="718406436">
    <w:abstractNumId w:val="2"/>
  </w:num>
  <w:num w:numId="9" w16cid:durableId="781731706">
    <w:abstractNumId w:val="1"/>
  </w:num>
  <w:num w:numId="10" w16cid:durableId="1370106460">
    <w:abstractNumId w:val="0"/>
  </w:num>
  <w:num w:numId="11" w16cid:durableId="1851867617">
    <w:abstractNumId w:val="10"/>
  </w:num>
  <w:num w:numId="12" w16cid:durableId="625887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7"/>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3AEC"/>
    <w:rsid w:val="0012437B"/>
    <w:rsid w:val="00132C19"/>
    <w:rsid w:val="00140AB3"/>
    <w:rsid w:val="001678AC"/>
    <w:rsid w:val="001718F2"/>
    <w:rsid w:val="0017391E"/>
    <w:rsid w:val="001859C2"/>
    <w:rsid w:val="001A7379"/>
    <w:rsid w:val="001A7D06"/>
    <w:rsid w:val="001C0E50"/>
    <w:rsid w:val="001E5563"/>
    <w:rsid w:val="001E55A2"/>
    <w:rsid w:val="001F312C"/>
    <w:rsid w:val="00211456"/>
    <w:rsid w:val="00244B07"/>
    <w:rsid w:val="00251E3F"/>
    <w:rsid w:val="002556F0"/>
    <w:rsid w:val="00256A48"/>
    <w:rsid w:val="00280896"/>
    <w:rsid w:val="00286FB4"/>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079E"/>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C0B27"/>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1EE9"/>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2624F"/>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66AE"/>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476CA"/>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A86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uiPriority w:val="39"/>
    <w:rsid w:val="000F2731"/>
    <w:pPr>
      <w:tabs>
        <w:tab w:val="clear" w:pos="1066"/>
      </w:tabs>
    </w:pPr>
  </w:style>
  <w:style w:type="paragraph" w:styleId="TOC2">
    <w:name w:val="toc 2"/>
    <w:basedOn w:val="Normal"/>
    <w:next w:val="Normal"/>
    <w:autoRedefine/>
    <w:uiPriority w:val="39"/>
    <w:rsid w:val="000F2731"/>
    <w:pPr>
      <w:tabs>
        <w:tab w:val="clear" w:pos="1066"/>
      </w:tabs>
      <w:ind w:left="240"/>
    </w:pPr>
  </w:style>
  <w:style w:type="paragraph" w:styleId="TOC3">
    <w:name w:val="toc 3"/>
    <w:basedOn w:val="Normal"/>
    <w:next w:val="Normal"/>
    <w:autoRedefine/>
    <w:uiPriority w:val="39"/>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styleId="TOCHeading">
    <w:name w:val="TOC Heading"/>
    <w:basedOn w:val="Heading1"/>
    <w:next w:val="Normal"/>
    <w:uiPriority w:val="39"/>
    <w:unhideWhenUsed/>
    <w:qFormat/>
    <w:rsid w:val="00B966AE"/>
    <w:pPr>
      <w:keepLines/>
      <w:tabs>
        <w:tab w:val="clear" w:pos="1066"/>
      </w:tabs>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character" w:styleId="Hyperlink">
    <w:name w:val="Hyperlink"/>
    <w:basedOn w:val="DefaultParagraphFont"/>
    <w:uiPriority w:val="99"/>
    <w:unhideWhenUsed/>
    <w:rsid w:val="00B966AE"/>
    <w:rPr>
      <w:color w:val="0563C1" w:themeColor="hyperlink"/>
      <w:u w:val="single"/>
    </w:rPr>
  </w:style>
  <w:style w:type="paragraph" w:styleId="Header">
    <w:name w:val="header"/>
    <w:basedOn w:val="Normal"/>
    <w:link w:val="HeaderChar"/>
    <w:uiPriority w:val="99"/>
    <w:unhideWhenUsed/>
    <w:rsid w:val="00123AEC"/>
    <w:pPr>
      <w:tabs>
        <w:tab w:val="clear" w:pos="1066"/>
        <w:tab w:val="center" w:pos="4513"/>
        <w:tab w:val="right" w:pos="9026"/>
      </w:tabs>
    </w:pPr>
  </w:style>
  <w:style w:type="character" w:customStyle="1" w:styleId="HeaderChar">
    <w:name w:val="Header Char"/>
    <w:basedOn w:val="DefaultParagraphFont"/>
    <w:link w:val="Header"/>
    <w:uiPriority w:val="99"/>
    <w:rsid w:val="00123AEC"/>
    <w:rPr>
      <w:rFonts w:ascii="Arial" w:hAnsi="Arial"/>
      <w:sz w:val="24"/>
      <w:szCs w:val="24"/>
      <w:lang w:eastAsia="en-US"/>
    </w:rPr>
  </w:style>
  <w:style w:type="paragraph" w:styleId="Footer">
    <w:name w:val="footer"/>
    <w:basedOn w:val="Normal"/>
    <w:link w:val="FooterChar"/>
    <w:uiPriority w:val="99"/>
    <w:unhideWhenUsed/>
    <w:rsid w:val="00123AEC"/>
    <w:pPr>
      <w:tabs>
        <w:tab w:val="clear" w:pos="1066"/>
        <w:tab w:val="center" w:pos="4513"/>
        <w:tab w:val="right" w:pos="9026"/>
      </w:tabs>
    </w:pPr>
  </w:style>
  <w:style w:type="character" w:customStyle="1" w:styleId="FooterChar">
    <w:name w:val="Footer Char"/>
    <w:basedOn w:val="DefaultParagraphFont"/>
    <w:link w:val="Footer"/>
    <w:uiPriority w:val="99"/>
    <w:rsid w:val="00123AE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E51AB6BDA14E46965154573A5B1597" ma:contentTypeVersion="17" ma:contentTypeDescription="Create a new document." ma:contentTypeScope="" ma:versionID="70692e1f99051fdc455681b79635f6ce">
  <xsd:schema xmlns:xsd="http://www.w3.org/2001/XMLSchema" xmlns:xs="http://www.w3.org/2001/XMLSchema" xmlns:p="http://schemas.microsoft.com/office/2006/metadata/properties" xmlns:ns1="http://schemas.microsoft.com/sharepoint/v3" xmlns:ns2="282e478c-a706-48ce-a35b-7e5d9a5b444d" xmlns:ns3="3d68bfdd-94b1-4e70-a5f2-49a619905f41" targetNamespace="http://schemas.microsoft.com/office/2006/metadata/properties" ma:root="true" ma:fieldsID="4277ac98f3c2e63f7e68fb2be4046604" ns1:_="" ns2:_="" ns3:_="">
    <xsd:import namespace="http://schemas.microsoft.com/sharepoint/v3"/>
    <xsd:import namespace="282e478c-a706-48ce-a35b-7e5d9a5b444d"/>
    <xsd:import namespace="3d68bfdd-94b1-4e70-a5f2-49a619905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e478c-a706-48ce-a35b-7e5d9a5b4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68bfdd-94b1-4e70-a5f2-49a619905f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bac26d-c7c7-4935-af2d-74cc3201272d}" ma:internalName="TaxCatchAll" ma:showField="CatchAllData" ma:web="3d68bfdd-94b1-4e70-a5f2-49a619905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82e478c-a706-48ce-a35b-7e5d9a5b444d">
      <Terms xmlns="http://schemas.microsoft.com/office/infopath/2007/PartnerControls"/>
    </lcf76f155ced4ddcb4097134ff3c332f>
    <TaxCatchAll xmlns="3d68bfdd-94b1-4e70-a5f2-49a619905f4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9C8FDA-239C-471C-8D1B-387E8AECF68A}">
  <ds:schemaRefs>
    <ds:schemaRef ds:uri="http://schemas.openxmlformats.org/officeDocument/2006/bibliography"/>
  </ds:schemaRefs>
</ds:datastoreItem>
</file>

<file path=customXml/itemProps2.xml><?xml version="1.0" encoding="utf-8"?>
<ds:datastoreItem xmlns:ds="http://schemas.openxmlformats.org/officeDocument/2006/customXml" ds:itemID="{8EC6A21E-145E-4C2D-8728-14C44472F2FD}"/>
</file>

<file path=customXml/itemProps3.xml><?xml version="1.0" encoding="utf-8"?>
<ds:datastoreItem xmlns:ds="http://schemas.openxmlformats.org/officeDocument/2006/customXml" ds:itemID="{DC677882-A0AA-4A00-A479-BC501FD707E8}"/>
</file>

<file path=customXml/itemProps4.xml><?xml version="1.0" encoding="utf-8"?>
<ds:datastoreItem xmlns:ds="http://schemas.openxmlformats.org/officeDocument/2006/customXml" ds:itemID="{457F8F03-5072-4506-BC69-717DA1C1D02D}"/>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Family and Domestic Violence Strategic Commitment</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Domestic Violence Strategic Commitment</dc:title>
  <dc:subject/>
  <dc:creator>Services Australia</dc:creator>
  <cp:keywords>12899.2412</cp:keywords>
  <dc:description/>
  <cp:lastModifiedBy/>
  <cp:revision>1</cp:revision>
  <dcterms:created xsi:type="dcterms:W3CDTF">2024-12-06T01:49:00Z</dcterms:created>
  <dcterms:modified xsi:type="dcterms:W3CDTF">2024-12-09T01:36:00Z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0x01010052E51AB6BDA14E46965154573A5B1597</vt:lpwstr>
  </property>
</Properties>
</file>