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248CC" w14:textId="77777777" w:rsidR="00540CF0" w:rsidRPr="007E2B1A" w:rsidRDefault="004C0D04" w:rsidP="00540CF0">
      <w:pPr>
        <w:spacing w:before="161" w:after="161" w:line="240" w:lineRule="auto"/>
        <w:outlineLvl w:val="0"/>
        <w:rPr>
          <w:rFonts w:ascii="Arial" w:eastAsia="Times New Roman" w:hAnsi="Arial" w:cs="Arial"/>
          <w:kern w:val="36"/>
          <w:sz w:val="44"/>
          <w:szCs w:val="44"/>
          <w:lang w:val="en" w:eastAsia="en-AU"/>
        </w:rPr>
      </w:pPr>
      <w:r w:rsidRPr="007E2B1A">
        <w:rPr>
          <w:rFonts w:ascii="Arial" w:eastAsia="Times New Roman" w:hAnsi="Arial" w:cs="Arial"/>
          <w:kern w:val="36"/>
          <w:sz w:val="44"/>
          <w:szCs w:val="44"/>
          <w:lang w:val="en" w:eastAsia="en-AU"/>
        </w:rPr>
        <w:t xml:space="preserve">Practice Incentives Program </w:t>
      </w:r>
      <w:r w:rsidR="00540CF0" w:rsidRPr="007E2B1A">
        <w:rPr>
          <w:rFonts w:ascii="Arial" w:eastAsia="Times New Roman" w:hAnsi="Arial" w:cs="Arial"/>
          <w:kern w:val="36"/>
          <w:sz w:val="44"/>
          <w:szCs w:val="44"/>
          <w:lang w:val="en" w:eastAsia="en-AU"/>
        </w:rPr>
        <w:t>Teaching Payment</w:t>
      </w:r>
      <w:r w:rsidRPr="007E2B1A">
        <w:rPr>
          <w:rFonts w:ascii="Arial" w:eastAsia="Times New Roman" w:hAnsi="Arial" w:cs="Arial"/>
          <w:kern w:val="36"/>
          <w:sz w:val="44"/>
          <w:szCs w:val="44"/>
          <w:lang w:val="en" w:eastAsia="en-AU"/>
        </w:rPr>
        <w:t xml:space="preserve"> Guidelines</w:t>
      </w:r>
    </w:p>
    <w:p w14:paraId="368FAC60" w14:textId="77777777" w:rsidR="00495DD0" w:rsidRPr="007E2B1A" w:rsidRDefault="00495DD0" w:rsidP="00540CF0">
      <w:pPr>
        <w:pStyle w:val="Heading2"/>
        <w:rPr>
          <w:rFonts w:ascii="Arial" w:hAnsi="Arial" w:cs="Arial"/>
          <w:b w:val="0"/>
          <w:bCs w:val="0"/>
          <w:i w:val="0"/>
          <w:iCs w:val="0"/>
          <w:lang w:val="en" w:eastAsia="en-AU"/>
        </w:rPr>
      </w:pPr>
      <w:r w:rsidRPr="007E2B1A">
        <w:rPr>
          <w:rFonts w:ascii="Arial" w:hAnsi="Arial" w:cs="Arial"/>
          <w:b w:val="0"/>
          <w:bCs w:val="0"/>
          <w:i w:val="0"/>
          <w:iCs w:val="0"/>
          <w:lang w:val="en" w:eastAsia="en-AU"/>
        </w:rPr>
        <w:t>Effective 1 August 2024</w:t>
      </w:r>
    </w:p>
    <w:p w14:paraId="40D4B8CA" w14:textId="77777777" w:rsidR="00926213" w:rsidRDefault="00926213" w:rsidP="00947348">
      <w:pPr>
        <w:rPr>
          <w:rFonts w:ascii="Roboto" w:hAnsi="Roboto" w:cs="Segoe UI"/>
          <w:sz w:val="24"/>
          <w:szCs w:val="24"/>
          <w:lang w:val="en" w:eastAsia="en-AU"/>
        </w:rPr>
      </w:pPr>
    </w:p>
    <w:p w14:paraId="1B081973" w14:textId="589B0AFF" w:rsidR="0051287F" w:rsidRPr="00947348" w:rsidRDefault="00540CF0" w:rsidP="00947348">
      <w:pPr>
        <w:rPr>
          <w:lang w:val="en" w:eastAsia="en-AU"/>
        </w:rPr>
      </w:pPr>
      <w:r w:rsidRPr="5D6A73B6">
        <w:rPr>
          <w:rFonts w:ascii="Roboto" w:hAnsi="Roboto" w:cs="Segoe UI"/>
          <w:sz w:val="24"/>
          <w:szCs w:val="24"/>
          <w:lang w:val="en-US" w:eastAsia="en-AU"/>
        </w:rPr>
        <w:t>Payment to encourage general practices to provide teaching sessions to undergraduate and graduate medical students preparing to enter the Australian medical profession</w:t>
      </w:r>
      <w:r w:rsidR="00912E0A" w:rsidRPr="5D6A73B6">
        <w:rPr>
          <w:rFonts w:ascii="Roboto" w:hAnsi="Roboto" w:cs="Segoe UI"/>
          <w:sz w:val="24"/>
          <w:szCs w:val="24"/>
          <w:lang w:val="en-US" w:eastAsia="en-AU"/>
        </w:rPr>
        <w:t>.</w:t>
      </w:r>
    </w:p>
    <w:p w14:paraId="45519478" w14:textId="77777777" w:rsidR="00540CF0" w:rsidRDefault="00540CF0" w:rsidP="00540CF0">
      <w:pPr>
        <w:pStyle w:val="Heading2"/>
        <w:rPr>
          <w:rFonts w:ascii="Roboto" w:hAnsi="Roboto" w:cs="Segoe UI"/>
          <w:lang w:val="en"/>
        </w:rPr>
      </w:pPr>
      <w:r>
        <w:rPr>
          <w:rFonts w:ascii="Roboto" w:hAnsi="Roboto" w:cs="Segoe UI"/>
          <w:lang w:val="en"/>
        </w:rPr>
        <w:t>About the Teaching Payment</w:t>
      </w:r>
    </w:p>
    <w:p w14:paraId="65B99D54" w14:textId="204DB8DA" w:rsidR="00540CF0" w:rsidRDefault="00540CF0" w:rsidP="00540CF0">
      <w:pPr>
        <w:pStyle w:val="NormalWeb"/>
        <w:rPr>
          <w:rFonts w:ascii="Roboto" w:hAnsi="Roboto" w:cs="Segoe UI"/>
          <w:lang w:val="en"/>
        </w:rPr>
      </w:pPr>
      <w:r w:rsidRPr="5D6A73B6">
        <w:rPr>
          <w:rFonts w:ascii="Roboto" w:hAnsi="Roboto" w:cs="Segoe UI"/>
          <w:lang w:val="en"/>
        </w:rPr>
        <w:t>Quality teaching is important to make sure future general practitioners (GPs) are</w:t>
      </w:r>
      <w:r w:rsidR="7396D5EA" w:rsidRPr="5D6A73B6">
        <w:rPr>
          <w:rFonts w:ascii="Roboto" w:hAnsi="Roboto" w:cs="Segoe UI"/>
          <w:lang w:val="en"/>
        </w:rPr>
        <w:t xml:space="preserve"> both of the following</w:t>
      </w:r>
      <w:r w:rsidRPr="5D6A73B6">
        <w:rPr>
          <w:rFonts w:ascii="Roboto" w:hAnsi="Roboto" w:cs="Segoe UI"/>
          <w:lang w:val="en"/>
        </w:rPr>
        <w:t>:</w:t>
      </w:r>
    </w:p>
    <w:p w14:paraId="1CD58246" w14:textId="138CB16E" w:rsidR="00540CF0" w:rsidRPr="008D5378" w:rsidRDefault="00540CF0" w:rsidP="5D6A73B6">
      <w:pPr>
        <w:numPr>
          <w:ilvl w:val="0"/>
          <w:numId w:val="1"/>
        </w:numPr>
        <w:spacing w:before="100" w:beforeAutospacing="1" w:after="100" w:afterAutospacing="1" w:line="240" w:lineRule="auto"/>
        <w:ind w:left="426"/>
        <w:rPr>
          <w:rFonts w:ascii="Roboto" w:hAnsi="Roboto" w:cs="Segoe UI"/>
          <w:sz w:val="24"/>
          <w:szCs w:val="24"/>
          <w:lang w:val="en"/>
        </w:rPr>
      </w:pPr>
      <w:r w:rsidRPr="008D5378">
        <w:rPr>
          <w:rFonts w:ascii="Roboto" w:hAnsi="Roboto" w:cs="Segoe UI"/>
          <w:sz w:val="24"/>
          <w:szCs w:val="24"/>
          <w:lang w:val="en"/>
        </w:rPr>
        <w:t>appropriately trained</w:t>
      </w:r>
    </w:p>
    <w:p w14:paraId="45F37A57" w14:textId="54E0AB54" w:rsidR="00540CF0" w:rsidRPr="008D5378" w:rsidRDefault="00540CF0" w:rsidP="5D6A73B6">
      <w:pPr>
        <w:numPr>
          <w:ilvl w:val="0"/>
          <w:numId w:val="1"/>
        </w:numPr>
        <w:spacing w:before="100" w:beforeAutospacing="1" w:after="100" w:afterAutospacing="1" w:line="240" w:lineRule="auto"/>
        <w:ind w:left="426"/>
        <w:rPr>
          <w:rFonts w:ascii="Roboto" w:hAnsi="Roboto" w:cs="Segoe UI"/>
          <w:sz w:val="24"/>
          <w:szCs w:val="24"/>
          <w:lang w:val="en"/>
        </w:rPr>
      </w:pPr>
      <w:r w:rsidRPr="008D5378">
        <w:rPr>
          <w:rFonts w:ascii="Roboto" w:hAnsi="Roboto" w:cs="Segoe UI"/>
          <w:sz w:val="24"/>
          <w:szCs w:val="24"/>
          <w:lang w:val="en"/>
        </w:rPr>
        <w:t>have experience working in a general practice</w:t>
      </w:r>
      <w:r w:rsidR="008D5378">
        <w:rPr>
          <w:rFonts w:ascii="Roboto" w:hAnsi="Roboto" w:cs="Segoe UI"/>
          <w:sz w:val="24"/>
          <w:szCs w:val="24"/>
          <w:lang w:val="en"/>
        </w:rPr>
        <w:t>.</w:t>
      </w:r>
    </w:p>
    <w:p w14:paraId="7FA1FA81" w14:textId="755B9143" w:rsidR="00540CF0" w:rsidRDefault="5D8DBE50" w:rsidP="00540CF0">
      <w:pPr>
        <w:pStyle w:val="NormalWeb"/>
        <w:rPr>
          <w:rFonts w:ascii="Roboto" w:hAnsi="Roboto" w:cs="Segoe UI"/>
          <w:lang w:val="en"/>
        </w:rPr>
      </w:pPr>
      <w:r w:rsidRPr="5D6A73B6">
        <w:rPr>
          <w:rFonts w:ascii="Roboto" w:hAnsi="Roboto" w:cs="Segoe UI"/>
          <w:lang w:val="en-US"/>
        </w:rPr>
        <w:t>The Teaching Payment compensates eligible practices for the reduced number of consultations due to a student's presence.</w:t>
      </w:r>
      <w:r w:rsidR="00540CF0">
        <w:br/>
      </w:r>
      <w:r w:rsidR="008D5378">
        <w:rPr>
          <w:rFonts w:ascii="Roboto" w:hAnsi="Roboto" w:cs="Segoe UI"/>
          <w:lang w:val="en"/>
        </w:rPr>
        <w:br/>
      </w:r>
      <w:r w:rsidR="00540CF0">
        <w:rPr>
          <w:rFonts w:ascii="Roboto" w:hAnsi="Roboto" w:cs="Segoe UI"/>
          <w:lang w:val="en"/>
        </w:rPr>
        <w:t>GPs are expected to have normal consultations when the student is present.</w:t>
      </w:r>
    </w:p>
    <w:p w14:paraId="04141BE8" w14:textId="77777777" w:rsidR="00540CF0" w:rsidRDefault="00540CF0" w:rsidP="00540CF0">
      <w:pPr>
        <w:pStyle w:val="Heading2"/>
        <w:rPr>
          <w:rFonts w:ascii="Roboto" w:hAnsi="Roboto" w:cs="Segoe UI"/>
          <w:lang w:val="en"/>
        </w:rPr>
      </w:pPr>
      <w:r>
        <w:rPr>
          <w:rFonts w:ascii="Roboto" w:hAnsi="Roboto" w:cs="Segoe UI"/>
          <w:lang w:val="en"/>
        </w:rPr>
        <w:t>Eligible teaching sessions</w:t>
      </w:r>
    </w:p>
    <w:p w14:paraId="127F3C45" w14:textId="6B6F0B93" w:rsidR="00540CF0" w:rsidRDefault="00540CF0" w:rsidP="5D6A73B6">
      <w:pPr>
        <w:pStyle w:val="NormalWeb"/>
        <w:rPr>
          <w:rFonts w:ascii="Roboto" w:hAnsi="Roboto" w:cs="Segoe UI"/>
          <w:lang w:val="en-US"/>
        </w:rPr>
      </w:pPr>
      <w:r w:rsidRPr="74FA3798">
        <w:rPr>
          <w:rFonts w:ascii="Roboto" w:hAnsi="Roboto" w:cs="Segoe UI"/>
          <w:lang w:val="en-US"/>
        </w:rPr>
        <w:t>To get the Teaching Payment, practices must</w:t>
      </w:r>
      <w:r w:rsidR="23EC8C55" w:rsidRPr="74FA3798">
        <w:rPr>
          <w:rFonts w:ascii="Roboto" w:hAnsi="Roboto" w:cs="Segoe UI"/>
          <w:lang w:val="en-US"/>
        </w:rPr>
        <w:t xml:space="preserve"> meet the following</w:t>
      </w:r>
      <w:r w:rsidR="6955D909" w:rsidRPr="74FA3798">
        <w:rPr>
          <w:rFonts w:ascii="Roboto" w:hAnsi="Roboto" w:cs="Segoe UI"/>
          <w:lang w:val="en-US"/>
        </w:rPr>
        <w:t xml:space="preserve"> requirements</w:t>
      </w:r>
      <w:r w:rsidRPr="74FA3798">
        <w:rPr>
          <w:rFonts w:ascii="Roboto" w:hAnsi="Roboto" w:cs="Segoe UI"/>
          <w:lang w:val="en-US"/>
        </w:rPr>
        <w:t>:</w:t>
      </w:r>
    </w:p>
    <w:p w14:paraId="193C6C81" w14:textId="034657FF" w:rsidR="00B50375" w:rsidRPr="008D5378" w:rsidRDefault="00540CF0" w:rsidP="00B57B0E">
      <w:pPr>
        <w:numPr>
          <w:ilvl w:val="0"/>
          <w:numId w:val="2"/>
        </w:numPr>
        <w:spacing w:before="100" w:beforeAutospacing="1" w:after="100" w:afterAutospacing="1" w:line="240" w:lineRule="auto"/>
        <w:ind w:left="426"/>
        <w:rPr>
          <w:rFonts w:ascii="Roboto" w:hAnsi="Roboto" w:cs="Segoe UI"/>
          <w:sz w:val="24"/>
          <w:szCs w:val="24"/>
          <w:lang w:val="en"/>
        </w:rPr>
      </w:pPr>
      <w:r w:rsidRPr="008D5378">
        <w:rPr>
          <w:rFonts w:ascii="Roboto" w:hAnsi="Roboto" w:cs="Segoe UI"/>
          <w:sz w:val="24"/>
          <w:szCs w:val="24"/>
          <w:lang w:val="en"/>
        </w:rPr>
        <w:t xml:space="preserve">be </w:t>
      </w:r>
      <w:r w:rsidR="00A53128" w:rsidRPr="008D5378">
        <w:rPr>
          <w:rFonts w:ascii="Roboto" w:hAnsi="Roboto" w:cs="Segoe UI"/>
          <w:sz w:val="24"/>
          <w:szCs w:val="24"/>
          <w:lang w:val="en"/>
        </w:rPr>
        <w:t>approved</w:t>
      </w:r>
      <w:r w:rsidRPr="008D5378">
        <w:rPr>
          <w:rFonts w:ascii="Roboto" w:hAnsi="Roboto" w:cs="Segoe UI"/>
          <w:sz w:val="24"/>
          <w:szCs w:val="24"/>
          <w:lang w:val="en"/>
        </w:rPr>
        <w:t xml:space="preserve"> for the Practice Incentives Program (PIP)</w:t>
      </w:r>
    </w:p>
    <w:p w14:paraId="3E1B5101" w14:textId="3CAA8856" w:rsidR="00540CF0" w:rsidRPr="008D5378" w:rsidDel="00735E39" w:rsidRDefault="00540CF0" w:rsidP="5D6A73B6">
      <w:pPr>
        <w:numPr>
          <w:ilvl w:val="0"/>
          <w:numId w:val="2"/>
        </w:numPr>
        <w:spacing w:before="100" w:beforeAutospacing="1" w:after="100" w:afterAutospacing="1" w:line="240" w:lineRule="auto"/>
        <w:ind w:left="426"/>
        <w:rPr>
          <w:rFonts w:ascii="Roboto" w:hAnsi="Roboto" w:cs="Segoe UI"/>
          <w:sz w:val="24"/>
          <w:szCs w:val="24"/>
          <w:lang w:val="en"/>
        </w:rPr>
      </w:pPr>
      <w:r w:rsidRPr="008D5378">
        <w:rPr>
          <w:rFonts w:ascii="Roboto" w:hAnsi="Roboto" w:cs="Segoe UI"/>
          <w:sz w:val="24"/>
          <w:szCs w:val="24"/>
          <w:lang w:val="en"/>
        </w:rPr>
        <w:t>meet the general eligibility requirements for PIP</w:t>
      </w:r>
    </w:p>
    <w:p w14:paraId="5E8CC0C3" w14:textId="29F69AC7" w:rsidR="78270D2A" w:rsidRPr="008D5378" w:rsidRDefault="78270D2A" w:rsidP="684FB3D9">
      <w:pPr>
        <w:numPr>
          <w:ilvl w:val="0"/>
          <w:numId w:val="2"/>
        </w:numPr>
        <w:spacing w:beforeAutospacing="1" w:afterAutospacing="1" w:line="240" w:lineRule="auto"/>
        <w:ind w:left="426"/>
        <w:rPr>
          <w:rFonts w:ascii="Roboto" w:hAnsi="Roboto" w:cs="Segoe UI"/>
          <w:sz w:val="24"/>
          <w:szCs w:val="24"/>
          <w:lang w:val="en"/>
        </w:rPr>
      </w:pPr>
      <w:r w:rsidRPr="008D5378">
        <w:rPr>
          <w:rFonts w:ascii="Roboto" w:hAnsi="Roboto" w:cs="Segoe UI"/>
          <w:sz w:val="24"/>
          <w:szCs w:val="24"/>
          <w:lang w:val="en"/>
        </w:rPr>
        <w:t>provide eligible teaching sessions.</w:t>
      </w:r>
    </w:p>
    <w:p w14:paraId="14C30E1E" w14:textId="39C6A849" w:rsidR="5D6A73B6" w:rsidRPr="008D5378" w:rsidRDefault="76F3E27A" w:rsidP="5D6A73B6">
      <w:pPr>
        <w:spacing w:beforeAutospacing="1" w:afterAutospacing="1" w:line="240" w:lineRule="auto"/>
        <w:rPr>
          <w:rFonts w:ascii="Roboto" w:hAnsi="Roboto" w:cs="Segoe UI"/>
          <w:sz w:val="24"/>
          <w:szCs w:val="24"/>
          <w:lang w:val="en-US"/>
        </w:rPr>
      </w:pPr>
      <w:r w:rsidRPr="008D5378">
        <w:rPr>
          <w:rFonts w:ascii="Roboto" w:hAnsi="Roboto" w:cs="Segoe UI"/>
          <w:sz w:val="24"/>
          <w:szCs w:val="24"/>
          <w:lang w:val="en-US"/>
        </w:rPr>
        <w:t xml:space="preserve">If a </w:t>
      </w:r>
      <w:r w:rsidR="00C10316" w:rsidRPr="008D5378">
        <w:rPr>
          <w:rFonts w:ascii="Roboto" w:hAnsi="Roboto" w:cs="Segoe UI"/>
          <w:sz w:val="24"/>
          <w:szCs w:val="24"/>
          <w:lang w:val="en-US"/>
        </w:rPr>
        <w:t xml:space="preserve">practice </w:t>
      </w:r>
      <w:r w:rsidR="66ED057E" w:rsidRPr="008D5378">
        <w:rPr>
          <w:rFonts w:ascii="Roboto" w:eastAsia="Roboto" w:hAnsi="Roboto" w:cs="Roboto"/>
          <w:sz w:val="24"/>
          <w:szCs w:val="24"/>
          <w:lang w:val="en-US"/>
        </w:rPr>
        <w:t>is closing or withdrawing from</w:t>
      </w:r>
      <w:r w:rsidR="7CA52750" w:rsidRPr="008D5378">
        <w:rPr>
          <w:rFonts w:ascii="Roboto" w:eastAsia="Roboto" w:hAnsi="Roboto" w:cs="Roboto"/>
          <w:sz w:val="24"/>
          <w:szCs w:val="24"/>
          <w:lang w:val="en-US"/>
        </w:rPr>
        <w:t xml:space="preserve"> the</w:t>
      </w:r>
      <w:r w:rsidR="66ED057E" w:rsidRPr="008D5378">
        <w:rPr>
          <w:rFonts w:ascii="Roboto" w:eastAsia="Roboto" w:hAnsi="Roboto" w:cs="Roboto"/>
          <w:sz w:val="24"/>
          <w:szCs w:val="24"/>
          <w:lang w:val="en-US"/>
        </w:rPr>
        <w:t xml:space="preserve"> PIP, they don’t need to meet the requirements for the quarter, only when the sessions took place. </w:t>
      </w:r>
    </w:p>
    <w:p w14:paraId="6F2F7B90" w14:textId="1532BAFC" w:rsidR="00540CF0" w:rsidRPr="008D5378" w:rsidRDefault="00540CF0" w:rsidP="00B50375">
      <w:pPr>
        <w:spacing w:before="100" w:beforeAutospacing="1" w:after="100" w:afterAutospacing="1" w:line="240" w:lineRule="auto"/>
        <w:rPr>
          <w:rFonts w:ascii="Roboto" w:hAnsi="Roboto" w:cs="Segoe UI"/>
          <w:sz w:val="24"/>
          <w:szCs w:val="24"/>
          <w:lang w:val="en"/>
        </w:rPr>
      </w:pPr>
      <w:r w:rsidRPr="008D5378">
        <w:rPr>
          <w:rFonts w:ascii="Roboto" w:hAnsi="Roboto" w:cs="Segoe UI"/>
          <w:sz w:val="24"/>
          <w:szCs w:val="24"/>
          <w:lang w:val="en"/>
        </w:rPr>
        <w:t xml:space="preserve">An eligible teaching session must satisfy </w:t>
      </w:r>
      <w:r w:rsidR="00EF35CA" w:rsidRPr="008D5378">
        <w:rPr>
          <w:rFonts w:ascii="Roboto" w:hAnsi="Roboto" w:cs="Segoe UI"/>
          <w:sz w:val="24"/>
          <w:szCs w:val="24"/>
          <w:lang w:val="en"/>
        </w:rPr>
        <w:t>all</w:t>
      </w:r>
      <w:r w:rsidRPr="008D5378">
        <w:rPr>
          <w:rFonts w:ascii="Roboto" w:hAnsi="Roboto" w:cs="Segoe UI"/>
          <w:sz w:val="24"/>
          <w:szCs w:val="24"/>
          <w:lang w:val="en"/>
        </w:rPr>
        <w:t xml:space="preserve"> the following criteria, it must be:</w:t>
      </w:r>
    </w:p>
    <w:p w14:paraId="0BA44817" w14:textId="77777777" w:rsidR="00540CF0" w:rsidRPr="008D5378" w:rsidRDefault="00540CF0" w:rsidP="5D6A73B6">
      <w:pPr>
        <w:numPr>
          <w:ilvl w:val="0"/>
          <w:numId w:val="3"/>
        </w:numPr>
        <w:tabs>
          <w:tab w:val="clear" w:pos="720"/>
          <w:tab w:val="num" w:pos="426"/>
        </w:tabs>
        <w:spacing w:before="100" w:beforeAutospacing="1" w:after="100" w:afterAutospacing="1" w:line="240" w:lineRule="auto"/>
        <w:ind w:left="426"/>
        <w:rPr>
          <w:rFonts w:ascii="Roboto" w:hAnsi="Roboto" w:cs="Segoe UI"/>
          <w:sz w:val="24"/>
          <w:szCs w:val="24"/>
          <w:lang w:val="en-US"/>
        </w:rPr>
      </w:pPr>
      <w:r w:rsidRPr="008D5378">
        <w:rPr>
          <w:rFonts w:ascii="Roboto" w:hAnsi="Roboto" w:cs="Segoe UI"/>
          <w:sz w:val="24"/>
          <w:szCs w:val="24"/>
          <w:lang w:val="en-US"/>
        </w:rPr>
        <w:t>provided to a student enrolled at an Australian university who’s completing an undergraduate or graduate medical course accredited by the Australian Medical Council</w:t>
      </w:r>
    </w:p>
    <w:p w14:paraId="386E48BD" w14:textId="77777777" w:rsidR="00540CF0" w:rsidRPr="008D5378" w:rsidRDefault="00540CF0" w:rsidP="00B57B0E">
      <w:pPr>
        <w:numPr>
          <w:ilvl w:val="0"/>
          <w:numId w:val="3"/>
        </w:numPr>
        <w:tabs>
          <w:tab w:val="clear" w:pos="720"/>
          <w:tab w:val="num" w:pos="426"/>
        </w:tabs>
        <w:spacing w:before="100" w:beforeAutospacing="1" w:after="100" w:afterAutospacing="1" w:line="240" w:lineRule="auto"/>
        <w:ind w:left="426"/>
        <w:rPr>
          <w:rFonts w:ascii="Roboto" w:hAnsi="Roboto" w:cs="Segoe UI"/>
          <w:sz w:val="24"/>
          <w:szCs w:val="24"/>
          <w:lang w:val="en"/>
        </w:rPr>
      </w:pPr>
      <w:r w:rsidRPr="008D5378">
        <w:rPr>
          <w:rFonts w:ascii="Roboto" w:hAnsi="Roboto" w:cs="Segoe UI"/>
          <w:sz w:val="24"/>
          <w:szCs w:val="24"/>
          <w:lang w:val="en"/>
        </w:rPr>
        <w:t>provided to a student enrolled in a course at an Australian-based campus, aimed at preparing the student for the Australian medical profession</w:t>
      </w:r>
    </w:p>
    <w:p w14:paraId="79E93ED7" w14:textId="77777777" w:rsidR="00540CF0" w:rsidRPr="008D5378" w:rsidRDefault="00540CF0" w:rsidP="00B57B0E">
      <w:pPr>
        <w:numPr>
          <w:ilvl w:val="0"/>
          <w:numId w:val="3"/>
        </w:numPr>
        <w:tabs>
          <w:tab w:val="clear" w:pos="720"/>
          <w:tab w:val="num" w:pos="426"/>
        </w:tabs>
        <w:spacing w:before="100" w:beforeAutospacing="1" w:after="100" w:afterAutospacing="1" w:line="240" w:lineRule="auto"/>
        <w:ind w:left="426"/>
        <w:rPr>
          <w:rFonts w:ascii="Roboto" w:hAnsi="Roboto" w:cs="Segoe UI"/>
          <w:sz w:val="24"/>
          <w:szCs w:val="24"/>
          <w:lang w:val="en"/>
        </w:rPr>
      </w:pPr>
      <w:r w:rsidRPr="008D5378">
        <w:rPr>
          <w:rFonts w:ascii="Roboto" w:hAnsi="Roboto" w:cs="Segoe UI"/>
          <w:sz w:val="24"/>
          <w:szCs w:val="24"/>
          <w:lang w:val="en"/>
        </w:rPr>
        <w:t>part of the student’s core curriculum</w:t>
      </w:r>
    </w:p>
    <w:p w14:paraId="041CC98D" w14:textId="563C0D71" w:rsidR="00540CF0" w:rsidRPr="008D5378" w:rsidRDefault="00540CF0" w:rsidP="5D6A73B6">
      <w:pPr>
        <w:numPr>
          <w:ilvl w:val="0"/>
          <w:numId w:val="3"/>
        </w:numPr>
        <w:tabs>
          <w:tab w:val="clear" w:pos="720"/>
          <w:tab w:val="num" w:pos="426"/>
        </w:tabs>
        <w:spacing w:before="100" w:beforeAutospacing="1" w:after="100" w:afterAutospacing="1" w:line="240" w:lineRule="auto"/>
        <w:ind w:left="426"/>
        <w:rPr>
          <w:rFonts w:ascii="Roboto" w:hAnsi="Roboto" w:cs="Segoe UI"/>
          <w:sz w:val="24"/>
          <w:szCs w:val="24"/>
          <w:lang w:val="en-US"/>
        </w:rPr>
      </w:pPr>
      <w:r w:rsidRPr="008D5378">
        <w:rPr>
          <w:rFonts w:ascii="Roboto" w:hAnsi="Roboto" w:cs="Segoe UI"/>
          <w:sz w:val="24"/>
          <w:szCs w:val="24"/>
          <w:lang w:val="en-US"/>
        </w:rPr>
        <w:t xml:space="preserve">given by a GP registered in PIP at </w:t>
      </w:r>
      <w:r w:rsidR="00947348" w:rsidRPr="008D5378">
        <w:rPr>
          <w:rFonts w:ascii="Roboto" w:hAnsi="Roboto" w:cs="Segoe UI"/>
          <w:sz w:val="24"/>
          <w:szCs w:val="24"/>
          <w:lang w:val="en-US"/>
        </w:rPr>
        <w:t xml:space="preserve">the </w:t>
      </w:r>
      <w:r w:rsidRPr="008D5378">
        <w:rPr>
          <w:rFonts w:ascii="Roboto" w:hAnsi="Roboto" w:cs="Segoe UI"/>
          <w:sz w:val="24"/>
          <w:szCs w:val="24"/>
          <w:lang w:val="en-US"/>
        </w:rPr>
        <w:t xml:space="preserve">main or additional practice </w:t>
      </w:r>
      <w:r w:rsidR="0039613D" w:rsidRPr="008D5378">
        <w:rPr>
          <w:rFonts w:ascii="Roboto" w:hAnsi="Roboto" w:cs="Segoe UI"/>
          <w:sz w:val="24"/>
          <w:szCs w:val="24"/>
          <w:lang w:val="en-US"/>
        </w:rPr>
        <w:t xml:space="preserve">branch </w:t>
      </w:r>
      <w:r w:rsidRPr="008D5378">
        <w:rPr>
          <w:rFonts w:ascii="Roboto" w:hAnsi="Roboto" w:cs="Segoe UI"/>
          <w:sz w:val="24"/>
          <w:szCs w:val="24"/>
          <w:lang w:val="en-US"/>
        </w:rPr>
        <w:t>location when the teaching sessions took place</w:t>
      </w:r>
    </w:p>
    <w:p w14:paraId="5F6CDB0C" w14:textId="58DC9538" w:rsidR="00540CF0" w:rsidRPr="008D5378" w:rsidRDefault="00540CF0" w:rsidP="00B57B0E">
      <w:pPr>
        <w:numPr>
          <w:ilvl w:val="0"/>
          <w:numId w:val="3"/>
        </w:numPr>
        <w:tabs>
          <w:tab w:val="clear" w:pos="720"/>
          <w:tab w:val="num" w:pos="426"/>
        </w:tabs>
        <w:spacing w:before="100" w:beforeAutospacing="1" w:after="100" w:afterAutospacing="1" w:line="240" w:lineRule="auto"/>
        <w:ind w:left="426"/>
        <w:rPr>
          <w:rFonts w:ascii="Roboto" w:hAnsi="Roboto" w:cs="Segoe UI"/>
          <w:sz w:val="24"/>
          <w:szCs w:val="24"/>
          <w:lang w:val="en"/>
        </w:rPr>
      </w:pPr>
      <w:r w:rsidRPr="008D5378">
        <w:rPr>
          <w:rFonts w:ascii="Roboto" w:hAnsi="Roboto" w:cs="Segoe UI"/>
          <w:sz w:val="24"/>
          <w:szCs w:val="24"/>
          <w:lang w:val="en"/>
        </w:rPr>
        <w:lastRenderedPageBreak/>
        <w:t xml:space="preserve">given by a GP responsible for the session, including sessions outside the practice, such as home visits and consultations in hospitals or </w:t>
      </w:r>
      <w:r w:rsidR="006C79CF" w:rsidRPr="008D5378">
        <w:rPr>
          <w:rFonts w:ascii="Roboto" w:hAnsi="Roboto" w:cs="Segoe UI"/>
          <w:sz w:val="24"/>
          <w:szCs w:val="24"/>
          <w:lang w:val="en"/>
        </w:rPr>
        <w:t xml:space="preserve">residential </w:t>
      </w:r>
      <w:r w:rsidRPr="008D5378">
        <w:rPr>
          <w:rFonts w:ascii="Roboto" w:hAnsi="Roboto" w:cs="Segoe UI"/>
          <w:sz w:val="24"/>
          <w:szCs w:val="24"/>
          <w:lang w:val="en"/>
        </w:rPr>
        <w:t xml:space="preserve">aged care </w:t>
      </w:r>
      <w:r w:rsidR="006C79CF" w:rsidRPr="008D5378">
        <w:rPr>
          <w:rFonts w:ascii="Roboto" w:hAnsi="Roboto" w:cs="Segoe UI"/>
          <w:sz w:val="24"/>
          <w:szCs w:val="24"/>
          <w:lang w:val="en"/>
        </w:rPr>
        <w:t>homes</w:t>
      </w:r>
    </w:p>
    <w:p w14:paraId="6E1C375E" w14:textId="4A19963F" w:rsidR="00540CF0" w:rsidRPr="008D5378" w:rsidRDefault="00540CF0" w:rsidP="5D6A73B6">
      <w:pPr>
        <w:numPr>
          <w:ilvl w:val="0"/>
          <w:numId w:val="3"/>
        </w:numPr>
        <w:tabs>
          <w:tab w:val="clear" w:pos="720"/>
          <w:tab w:val="num" w:pos="426"/>
        </w:tabs>
        <w:spacing w:before="100" w:beforeAutospacing="1" w:after="100" w:afterAutospacing="1" w:line="240" w:lineRule="auto"/>
        <w:ind w:left="426"/>
        <w:rPr>
          <w:rFonts w:ascii="Roboto" w:hAnsi="Roboto" w:cs="Segoe UI"/>
          <w:sz w:val="24"/>
          <w:szCs w:val="24"/>
          <w:lang w:val="en"/>
        </w:rPr>
      </w:pPr>
      <w:r w:rsidRPr="008D5378">
        <w:rPr>
          <w:rFonts w:ascii="Roboto" w:hAnsi="Roboto" w:cs="Segoe UI"/>
          <w:sz w:val="24"/>
          <w:szCs w:val="24"/>
          <w:lang w:val="en"/>
        </w:rPr>
        <w:t>a minimum of 3 hours in length</w:t>
      </w:r>
      <w:r w:rsidR="008D5378">
        <w:rPr>
          <w:rFonts w:ascii="Roboto" w:hAnsi="Roboto" w:cs="Segoe UI"/>
          <w:sz w:val="24"/>
          <w:szCs w:val="24"/>
          <w:lang w:val="en"/>
        </w:rPr>
        <w:t>.</w:t>
      </w:r>
    </w:p>
    <w:p w14:paraId="4B851373" w14:textId="77777777" w:rsidR="00540CF0" w:rsidRDefault="00540CF0" w:rsidP="00540CF0">
      <w:pPr>
        <w:pStyle w:val="NormalWeb"/>
        <w:rPr>
          <w:rFonts w:ascii="Roboto" w:hAnsi="Roboto" w:cs="Segoe UI"/>
          <w:lang w:val="en"/>
        </w:rPr>
      </w:pPr>
      <w:r>
        <w:rPr>
          <w:rFonts w:ascii="Roboto" w:hAnsi="Roboto" w:cs="Segoe UI"/>
          <w:lang w:val="en"/>
        </w:rPr>
        <w:t>Teaching sessions are not payable:</w:t>
      </w:r>
    </w:p>
    <w:p w14:paraId="4B47F7D2" w14:textId="77777777" w:rsidR="00540CF0" w:rsidRPr="008D5378" w:rsidRDefault="00540CF0" w:rsidP="5D6A73B6">
      <w:pPr>
        <w:numPr>
          <w:ilvl w:val="0"/>
          <w:numId w:val="4"/>
        </w:numPr>
        <w:tabs>
          <w:tab w:val="clear" w:pos="720"/>
          <w:tab w:val="num" w:pos="426"/>
        </w:tabs>
        <w:spacing w:before="100" w:beforeAutospacing="1" w:after="100" w:afterAutospacing="1" w:line="240" w:lineRule="auto"/>
        <w:ind w:left="426"/>
        <w:rPr>
          <w:rFonts w:ascii="Roboto" w:hAnsi="Roboto" w:cs="Segoe UI"/>
          <w:sz w:val="24"/>
          <w:szCs w:val="24"/>
          <w:lang w:val="en-US"/>
        </w:rPr>
      </w:pPr>
      <w:r w:rsidRPr="008D5378">
        <w:rPr>
          <w:rFonts w:ascii="Roboto" w:hAnsi="Roboto" w:cs="Segoe UI"/>
          <w:sz w:val="24"/>
          <w:szCs w:val="24"/>
          <w:lang w:val="en-US"/>
        </w:rPr>
        <w:t>for registrars and junior doctors, nursing, allied health or pharmacy students</w:t>
      </w:r>
    </w:p>
    <w:p w14:paraId="22FB1359" w14:textId="21557823" w:rsidR="00540CF0" w:rsidRPr="008D5378" w:rsidRDefault="00540CF0" w:rsidP="00B57B0E">
      <w:pPr>
        <w:numPr>
          <w:ilvl w:val="0"/>
          <w:numId w:val="4"/>
        </w:numPr>
        <w:tabs>
          <w:tab w:val="clear" w:pos="720"/>
          <w:tab w:val="num" w:pos="426"/>
        </w:tabs>
        <w:spacing w:before="100" w:beforeAutospacing="1" w:after="100" w:afterAutospacing="1" w:line="240" w:lineRule="auto"/>
        <w:ind w:left="426"/>
        <w:rPr>
          <w:rFonts w:ascii="Roboto" w:hAnsi="Roboto" w:cs="Segoe UI"/>
          <w:sz w:val="24"/>
          <w:szCs w:val="24"/>
          <w:lang w:val="en"/>
        </w:rPr>
      </w:pPr>
      <w:r w:rsidRPr="008D5378">
        <w:rPr>
          <w:rFonts w:ascii="Roboto" w:hAnsi="Roboto" w:cs="Segoe UI"/>
          <w:sz w:val="24"/>
          <w:szCs w:val="24"/>
          <w:lang w:val="en"/>
        </w:rPr>
        <w:t xml:space="preserve">if the supervising GP is paid for teaching activities through other Australian Government funded teaching programs, such as the John Flynn </w:t>
      </w:r>
      <w:r w:rsidR="00B52268" w:rsidRPr="008D5378">
        <w:rPr>
          <w:rFonts w:ascii="Roboto" w:hAnsi="Roboto" w:cs="Segoe UI"/>
          <w:sz w:val="24"/>
          <w:szCs w:val="24"/>
          <w:lang w:val="en"/>
        </w:rPr>
        <w:t>Prevocational Doctor</w:t>
      </w:r>
      <w:r w:rsidRPr="008D5378">
        <w:rPr>
          <w:rFonts w:ascii="Roboto" w:hAnsi="Roboto" w:cs="Segoe UI"/>
          <w:sz w:val="24"/>
          <w:szCs w:val="24"/>
          <w:lang w:val="en"/>
        </w:rPr>
        <w:t xml:space="preserve"> Program</w:t>
      </w:r>
    </w:p>
    <w:p w14:paraId="152211EE" w14:textId="2136230B" w:rsidR="00D9410D" w:rsidRPr="008D5378" w:rsidRDefault="00D9410D" w:rsidP="007E2B1A">
      <w:pPr>
        <w:numPr>
          <w:ilvl w:val="0"/>
          <w:numId w:val="4"/>
        </w:numPr>
        <w:tabs>
          <w:tab w:val="clear" w:pos="720"/>
          <w:tab w:val="num" w:pos="426"/>
        </w:tabs>
        <w:spacing w:before="100" w:beforeAutospacing="1" w:after="100" w:afterAutospacing="1" w:line="240" w:lineRule="auto"/>
        <w:ind w:left="426"/>
        <w:rPr>
          <w:rFonts w:ascii="Roboto" w:hAnsi="Roboto" w:cs="Segoe UI"/>
          <w:sz w:val="24"/>
          <w:szCs w:val="24"/>
          <w:lang w:val="en"/>
        </w:rPr>
      </w:pPr>
      <w:r w:rsidRPr="008D5378">
        <w:rPr>
          <w:rFonts w:ascii="Roboto" w:hAnsi="Roboto" w:cs="Segoe UI"/>
          <w:sz w:val="24"/>
          <w:szCs w:val="24"/>
          <w:lang w:val="en"/>
        </w:rPr>
        <w:t xml:space="preserve">if the practice has closed or withdrawn from the PIP Program when the teaching session was provided. </w:t>
      </w:r>
    </w:p>
    <w:p w14:paraId="57168DB5" w14:textId="49E8D792" w:rsidR="00540CF0" w:rsidRDefault="00540CF0" w:rsidP="5D6A73B6">
      <w:pPr>
        <w:pStyle w:val="NormalWeb"/>
        <w:rPr>
          <w:rFonts w:ascii="Roboto" w:hAnsi="Roboto" w:cs="Segoe UI"/>
          <w:lang w:val="en-US"/>
        </w:rPr>
      </w:pPr>
      <w:r w:rsidRPr="5D6A73B6">
        <w:rPr>
          <w:rFonts w:ascii="Roboto" w:hAnsi="Roboto" w:cs="Segoe UI"/>
          <w:lang w:val="en-US"/>
        </w:rPr>
        <w:t>Practices may still be eligible for the payment if they get payments or support from third parties funded by the government. We’ll consider these on a case-by-case basis.</w:t>
      </w:r>
    </w:p>
    <w:p w14:paraId="17474614" w14:textId="77777777" w:rsidR="00540CF0" w:rsidRDefault="00540CF0" w:rsidP="5D6A73B6">
      <w:pPr>
        <w:pStyle w:val="NormalWeb"/>
        <w:rPr>
          <w:rFonts w:ascii="Roboto" w:hAnsi="Roboto" w:cs="Segoe UI"/>
          <w:lang w:val="en-US"/>
        </w:rPr>
      </w:pPr>
      <w:r w:rsidRPr="5D6A73B6">
        <w:rPr>
          <w:rFonts w:ascii="Roboto" w:hAnsi="Roboto" w:cs="Segoe UI"/>
          <w:lang w:val="en-US"/>
        </w:rPr>
        <w:t>Practices are eligible for the payment even if they're getting teaching payments from a state or territory government.</w:t>
      </w:r>
    </w:p>
    <w:p w14:paraId="24582145" w14:textId="77777777" w:rsidR="00540CF0" w:rsidRDefault="00540CF0" w:rsidP="00540CF0">
      <w:pPr>
        <w:pStyle w:val="Heading2"/>
        <w:rPr>
          <w:rFonts w:ascii="Roboto" w:hAnsi="Roboto" w:cs="Segoe UI"/>
          <w:lang w:val="en"/>
        </w:rPr>
      </w:pPr>
      <w:r>
        <w:rPr>
          <w:rFonts w:ascii="Roboto" w:hAnsi="Roboto" w:cs="Segoe UI"/>
          <w:lang w:val="en"/>
        </w:rPr>
        <w:t>Payments and requirements</w:t>
      </w:r>
    </w:p>
    <w:p w14:paraId="640109CA" w14:textId="38CCAF50" w:rsidR="00540CF0" w:rsidRDefault="00540CF0" w:rsidP="5D6A73B6">
      <w:pPr>
        <w:pStyle w:val="NormalWeb"/>
        <w:rPr>
          <w:rFonts w:ascii="Roboto" w:hAnsi="Roboto" w:cs="Segoe UI"/>
          <w:lang w:val="en-US"/>
        </w:rPr>
      </w:pPr>
      <w:r w:rsidRPr="5D6A73B6">
        <w:rPr>
          <w:rFonts w:ascii="Roboto" w:hAnsi="Roboto" w:cs="Segoe UI"/>
          <w:lang w:val="en-US"/>
        </w:rPr>
        <w:t xml:space="preserve">Practices will get $200 for each </w:t>
      </w:r>
      <w:proofErr w:type="gramStart"/>
      <w:r w:rsidRPr="5D6A73B6">
        <w:rPr>
          <w:rFonts w:ascii="Roboto" w:hAnsi="Roboto" w:cs="Segoe UI"/>
          <w:lang w:val="en-US"/>
        </w:rPr>
        <w:t>3 hour</w:t>
      </w:r>
      <w:proofErr w:type="gramEnd"/>
      <w:r w:rsidRPr="5D6A73B6">
        <w:rPr>
          <w:rFonts w:ascii="Roboto" w:hAnsi="Roboto" w:cs="Segoe UI"/>
          <w:lang w:val="en-US"/>
        </w:rPr>
        <w:t xml:space="preserve"> teaching session. You can claim a maximum of 2 sessions per GP daily.</w:t>
      </w:r>
    </w:p>
    <w:p w14:paraId="16E16D4A" w14:textId="3093FFE5" w:rsidR="00540CF0" w:rsidRDefault="00540CF0" w:rsidP="00540CF0">
      <w:pPr>
        <w:pStyle w:val="NormalWeb"/>
        <w:rPr>
          <w:rFonts w:ascii="Roboto" w:hAnsi="Roboto" w:cs="Segoe UI"/>
          <w:lang w:val="en"/>
        </w:rPr>
      </w:pPr>
      <w:r w:rsidRPr="5D6A73B6">
        <w:rPr>
          <w:rFonts w:ascii="Roboto" w:hAnsi="Roboto" w:cs="Segoe UI"/>
          <w:lang w:val="en"/>
        </w:rPr>
        <w:t>Practices can only claim $200 for each session, regardless of how many students are in a teaching session.</w:t>
      </w:r>
    </w:p>
    <w:p w14:paraId="612A80BB" w14:textId="77777777" w:rsidR="00540CF0" w:rsidRDefault="00540CF0" w:rsidP="00540CF0">
      <w:pPr>
        <w:pStyle w:val="NormalWeb"/>
        <w:rPr>
          <w:rFonts w:ascii="Roboto" w:hAnsi="Roboto" w:cs="Segoe UI"/>
          <w:lang w:val="en"/>
        </w:rPr>
      </w:pPr>
      <w:r>
        <w:rPr>
          <w:rFonts w:ascii="Roboto" w:hAnsi="Roboto" w:cs="Segoe UI"/>
          <w:lang w:val="en"/>
        </w:rPr>
        <w:t>A rural loading will be added to your payment if your practice is in a rural or remote area. The loading varies based on the remoteness of your practice.</w:t>
      </w:r>
    </w:p>
    <w:p w14:paraId="36995F66" w14:textId="77777777" w:rsidR="00540CF0" w:rsidRDefault="00540CF0" w:rsidP="00540CF0">
      <w:pPr>
        <w:pStyle w:val="Heading2"/>
        <w:rPr>
          <w:rFonts w:ascii="Roboto" w:hAnsi="Roboto" w:cs="Segoe UI"/>
          <w:lang w:val="en"/>
        </w:rPr>
      </w:pPr>
      <w:r>
        <w:rPr>
          <w:rFonts w:ascii="Roboto" w:hAnsi="Roboto" w:cs="Segoe UI"/>
          <w:lang w:val="en"/>
        </w:rPr>
        <w:t>Applying</w:t>
      </w:r>
    </w:p>
    <w:p w14:paraId="0043B8C8" w14:textId="3FEF5844" w:rsidR="00484F7A" w:rsidRDefault="00540CF0" w:rsidP="002E547D">
      <w:pPr>
        <w:pStyle w:val="NormalWeb"/>
        <w:rPr>
          <w:rFonts w:ascii="Roboto" w:hAnsi="Roboto" w:cs="Segoe UI"/>
          <w:lang w:val="en"/>
        </w:rPr>
      </w:pPr>
      <w:r w:rsidRPr="5D6A73B6">
        <w:rPr>
          <w:rFonts w:ascii="Roboto" w:hAnsi="Roboto" w:cs="Segoe UI"/>
          <w:lang w:val="en-US"/>
        </w:rPr>
        <w:t xml:space="preserve">You don’t have to apply for this payment if your practice is already </w:t>
      </w:r>
      <w:r w:rsidR="000A1862" w:rsidRPr="5D6A73B6">
        <w:rPr>
          <w:rFonts w:ascii="Roboto" w:hAnsi="Roboto" w:cs="Segoe UI"/>
          <w:lang w:val="en-US"/>
        </w:rPr>
        <w:t>approved for</w:t>
      </w:r>
      <w:r w:rsidRPr="5D6A73B6">
        <w:rPr>
          <w:rFonts w:ascii="Roboto" w:hAnsi="Roboto" w:cs="Segoe UI"/>
          <w:lang w:val="en-US"/>
        </w:rPr>
        <w:t xml:space="preserve"> the PIP.</w:t>
      </w:r>
      <w:r>
        <w:br/>
      </w:r>
      <w:r w:rsidR="008D5378">
        <w:rPr>
          <w:rFonts w:ascii="Roboto" w:hAnsi="Roboto" w:cs="Segoe UI"/>
          <w:lang w:val="en-US"/>
        </w:rPr>
        <w:br/>
      </w:r>
      <w:r w:rsidRPr="5D6A73B6">
        <w:rPr>
          <w:rFonts w:ascii="Roboto" w:hAnsi="Roboto" w:cs="Segoe UI"/>
          <w:lang w:val="en-US"/>
        </w:rPr>
        <w:t>If your practice isn’t registered for the PIP</w:t>
      </w:r>
      <w:r w:rsidR="00484F7A" w:rsidRPr="5D6A73B6">
        <w:rPr>
          <w:rFonts w:ascii="Roboto" w:hAnsi="Roboto" w:cs="Segoe UI"/>
          <w:lang w:val="en-US"/>
        </w:rPr>
        <w:t>:</w:t>
      </w:r>
      <w:r w:rsidR="00C2561D">
        <w:rPr>
          <w:rFonts w:ascii="Roboto" w:hAnsi="Roboto" w:cs="Segoe UI"/>
          <w:lang w:val="en"/>
        </w:rPr>
        <w:t xml:space="preserve"> </w:t>
      </w:r>
    </w:p>
    <w:p w14:paraId="411481CF" w14:textId="1156537B" w:rsidR="00484F7A" w:rsidRPr="00484F7A" w:rsidRDefault="00C74CE7">
      <w:pPr>
        <w:pStyle w:val="NormalWeb"/>
        <w:numPr>
          <w:ilvl w:val="0"/>
          <w:numId w:val="14"/>
        </w:numPr>
        <w:rPr>
          <w:rFonts w:ascii="Roboto" w:hAnsi="Roboto"/>
          <w:lang w:val="en"/>
        </w:rPr>
      </w:pPr>
      <w:r w:rsidRPr="5D6A73B6">
        <w:rPr>
          <w:rFonts w:ascii="Roboto" w:hAnsi="Roboto" w:cs="Segoe UI"/>
          <w:lang w:val="en"/>
        </w:rPr>
        <w:t xml:space="preserve">read the PIP </w:t>
      </w:r>
      <w:r w:rsidR="315BAE73" w:rsidRPr="5D6A73B6">
        <w:rPr>
          <w:rFonts w:ascii="Roboto" w:hAnsi="Roboto" w:cs="Segoe UI"/>
          <w:lang w:val="en"/>
        </w:rPr>
        <w:t>g</w:t>
      </w:r>
      <w:r w:rsidRPr="5D6A73B6">
        <w:rPr>
          <w:rFonts w:ascii="Roboto" w:hAnsi="Roboto" w:cs="Segoe UI"/>
          <w:lang w:val="en"/>
        </w:rPr>
        <w:t>uidelines to see</w:t>
      </w:r>
      <w:r w:rsidR="00C2561D" w:rsidRPr="5D6A73B6">
        <w:rPr>
          <w:rFonts w:ascii="Roboto" w:hAnsi="Roboto" w:cs="Segoe UI"/>
          <w:lang w:val="en"/>
        </w:rPr>
        <w:t xml:space="preserve"> if your practice is eligible</w:t>
      </w:r>
      <w:r w:rsidR="00484F7A" w:rsidRPr="5D6A73B6">
        <w:rPr>
          <w:rFonts w:ascii="Roboto" w:hAnsi="Roboto" w:cs="Segoe UI"/>
          <w:lang w:val="en"/>
        </w:rPr>
        <w:t>, and</w:t>
      </w:r>
      <w:r w:rsidR="00C2561D" w:rsidRPr="5D6A73B6">
        <w:rPr>
          <w:rFonts w:ascii="Roboto" w:hAnsi="Roboto" w:cs="Segoe UI"/>
          <w:lang w:val="en"/>
        </w:rPr>
        <w:t xml:space="preserve"> </w:t>
      </w:r>
    </w:p>
    <w:p w14:paraId="4AC4C209" w14:textId="08440290" w:rsidR="003A3BE7" w:rsidRPr="001B7089" w:rsidRDefault="00C74CE7" w:rsidP="00205081">
      <w:pPr>
        <w:pStyle w:val="NormalWeb"/>
        <w:numPr>
          <w:ilvl w:val="0"/>
          <w:numId w:val="14"/>
        </w:numPr>
        <w:rPr>
          <w:rFonts w:ascii="Roboto" w:hAnsi="Roboto"/>
          <w:lang w:val="en"/>
        </w:rPr>
      </w:pPr>
      <w:r>
        <w:rPr>
          <w:rFonts w:ascii="Roboto" w:hAnsi="Roboto" w:cs="Segoe UI"/>
          <w:lang w:val="en"/>
        </w:rPr>
        <w:t xml:space="preserve">find </w:t>
      </w:r>
      <w:r w:rsidR="00893449">
        <w:rPr>
          <w:rFonts w:ascii="Roboto" w:hAnsi="Roboto" w:cs="Segoe UI"/>
          <w:lang w:val="en"/>
        </w:rPr>
        <w:t xml:space="preserve">out </w:t>
      </w:r>
      <w:r w:rsidR="00C2561D">
        <w:rPr>
          <w:rFonts w:ascii="Roboto" w:hAnsi="Roboto" w:cs="Segoe UI"/>
          <w:lang w:val="en"/>
        </w:rPr>
        <w:t>how to apply</w:t>
      </w:r>
      <w:r>
        <w:rPr>
          <w:rFonts w:ascii="Roboto" w:hAnsi="Roboto" w:cs="Segoe UI"/>
          <w:lang w:val="en"/>
        </w:rPr>
        <w:t>.</w:t>
      </w:r>
    </w:p>
    <w:p w14:paraId="6A8D5AF0" w14:textId="77777777" w:rsidR="008D5378" w:rsidRDefault="008D5378">
      <w:pPr>
        <w:spacing w:after="0" w:line="240" w:lineRule="auto"/>
        <w:rPr>
          <w:rFonts w:ascii="Roboto" w:eastAsia="Times New Roman" w:hAnsi="Roboto" w:cs="Segoe UI"/>
          <w:b/>
          <w:bCs/>
          <w:i/>
          <w:iCs/>
          <w:sz w:val="28"/>
          <w:szCs w:val="28"/>
          <w:lang w:val="en"/>
        </w:rPr>
      </w:pPr>
      <w:r>
        <w:rPr>
          <w:rFonts w:ascii="Roboto" w:hAnsi="Roboto" w:cs="Segoe UI"/>
          <w:lang w:val="en"/>
        </w:rPr>
        <w:br w:type="page"/>
      </w:r>
    </w:p>
    <w:p w14:paraId="3EBE9126" w14:textId="5C19F308" w:rsidR="00540CF0" w:rsidRDefault="00540CF0" w:rsidP="00540CF0">
      <w:pPr>
        <w:pStyle w:val="Heading2"/>
        <w:rPr>
          <w:rFonts w:ascii="Roboto" w:hAnsi="Roboto" w:cs="Segoe UI"/>
          <w:lang w:val="en"/>
        </w:rPr>
      </w:pPr>
      <w:r>
        <w:rPr>
          <w:rFonts w:ascii="Roboto" w:hAnsi="Roboto" w:cs="Segoe UI"/>
          <w:lang w:val="en"/>
        </w:rPr>
        <w:lastRenderedPageBreak/>
        <w:t>Claiming</w:t>
      </w:r>
    </w:p>
    <w:p w14:paraId="2FD3331A" w14:textId="77777777" w:rsidR="00540CF0" w:rsidRDefault="00540CF0" w:rsidP="5D6A73B6">
      <w:pPr>
        <w:pStyle w:val="NormalWeb"/>
        <w:rPr>
          <w:rFonts w:ascii="Roboto" w:hAnsi="Roboto" w:cs="Segoe UI"/>
          <w:lang w:val="en-US"/>
        </w:rPr>
      </w:pPr>
      <w:r w:rsidRPr="5D6A73B6">
        <w:rPr>
          <w:rFonts w:ascii="Roboto" w:hAnsi="Roboto" w:cs="Segoe UI"/>
          <w:lang w:val="en-US"/>
        </w:rPr>
        <w:t>Practices can submit teaching payment claims using:</w:t>
      </w:r>
    </w:p>
    <w:p w14:paraId="545C2D2F" w14:textId="0B66D593" w:rsidR="003A3BE7" w:rsidRPr="008D5378" w:rsidRDefault="00B359E6" w:rsidP="003A3BE7">
      <w:pPr>
        <w:numPr>
          <w:ilvl w:val="0"/>
          <w:numId w:val="11"/>
        </w:numPr>
        <w:rPr>
          <w:rFonts w:ascii="Roboto" w:hAnsi="Roboto"/>
          <w:sz w:val="24"/>
          <w:szCs w:val="24"/>
          <w:lang w:val="en"/>
        </w:rPr>
      </w:pPr>
      <w:r w:rsidRPr="008D5378">
        <w:rPr>
          <w:rFonts w:ascii="Roboto" w:hAnsi="Roboto"/>
          <w:sz w:val="24"/>
          <w:szCs w:val="24"/>
        </w:rPr>
        <w:t xml:space="preserve">The PIP Online system is available through </w:t>
      </w:r>
      <w:hyperlink r:id="rId8" w:history="1">
        <w:r w:rsidR="00500947" w:rsidRPr="008D5378">
          <w:rPr>
            <w:rStyle w:val="Hyperlink"/>
            <w:rFonts w:ascii="Roboto" w:hAnsi="Roboto"/>
            <w:sz w:val="24"/>
            <w:szCs w:val="24"/>
          </w:rPr>
          <w:t>Health Professional Online Services</w:t>
        </w:r>
      </w:hyperlink>
      <w:r w:rsidR="00500947" w:rsidRPr="008D5378">
        <w:rPr>
          <w:rFonts w:ascii="Roboto" w:hAnsi="Roboto"/>
          <w:sz w:val="24"/>
          <w:szCs w:val="24"/>
        </w:rPr>
        <w:t xml:space="preserve"> (HPOS)</w:t>
      </w:r>
    </w:p>
    <w:p w14:paraId="6F3E3B83" w14:textId="4BE68BA5" w:rsidR="002C5EC8" w:rsidRPr="008D5378" w:rsidRDefault="003A3BE7" w:rsidP="002C5EC8">
      <w:pPr>
        <w:numPr>
          <w:ilvl w:val="0"/>
          <w:numId w:val="11"/>
        </w:numPr>
        <w:rPr>
          <w:rFonts w:ascii="Roboto" w:hAnsi="Roboto"/>
          <w:sz w:val="24"/>
          <w:szCs w:val="24"/>
          <w:lang w:val="en"/>
        </w:rPr>
      </w:pPr>
      <w:r w:rsidRPr="008D5378">
        <w:rPr>
          <w:rFonts w:ascii="Roboto" w:hAnsi="Roboto"/>
          <w:sz w:val="24"/>
          <w:szCs w:val="24"/>
          <w:lang w:val="en"/>
        </w:rPr>
        <w:t xml:space="preserve">the </w:t>
      </w:r>
      <w:hyperlink r:id="rId9" w:history="1">
        <w:r w:rsidRPr="008D5378">
          <w:rPr>
            <w:rStyle w:val="Hyperlink"/>
            <w:rFonts w:ascii="Roboto" w:hAnsi="Roboto" w:cs="Segoe UI"/>
            <w:sz w:val="24"/>
            <w:szCs w:val="24"/>
            <w:lang w:val="en"/>
          </w:rPr>
          <w:t>Teaching Payment claim form</w:t>
        </w:r>
      </w:hyperlink>
      <w:r w:rsidRPr="008D5378">
        <w:rPr>
          <w:rStyle w:val="Hyperlink"/>
          <w:rFonts w:ascii="Roboto" w:hAnsi="Roboto" w:cs="Segoe UI"/>
          <w:sz w:val="24"/>
          <w:szCs w:val="24"/>
        </w:rPr>
        <w:t xml:space="preserve"> (IP006)</w:t>
      </w:r>
      <w:r w:rsidR="008D5378">
        <w:rPr>
          <w:rStyle w:val="Hyperlink"/>
          <w:rFonts w:ascii="Roboto" w:hAnsi="Roboto" w:cs="Segoe UI"/>
          <w:sz w:val="24"/>
          <w:szCs w:val="24"/>
        </w:rPr>
        <w:t>.</w:t>
      </w:r>
    </w:p>
    <w:p w14:paraId="417E0FD1" w14:textId="77777777" w:rsidR="00540CF0" w:rsidRDefault="00540CF0" w:rsidP="00540CF0">
      <w:pPr>
        <w:pStyle w:val="Heading2"/>
        <w:rPr>
          <w:rFonts w:ascii="Roboto" w:hAnsi="Roboto" w:cs="Segoe UI"/>
          <w:lang w:val="en"/>
        </w:rPr>
      </w:pPr>
      <w:r>
        <w:rPr>
          <w:rFonts w:ascii="Roboto" w:hAnsi="Roboto" w:cs="Segoe UI"/>
          <w:lang w:val="en"/>
        </w:rPr>
        <w:t>University certification</w:t>
      </w:r>
    </w:p>
    <w:p w14:paraId="391CFA6D" w14:textId="0B6829CD" w:rsidR="00540CF0" w:rsidRDefault="00540CF0" w:rsidP="00540CF0">
      <w:pPr>
        <w:pStyle w:val="NormalWeb"/>
        <w:rPr>
          <w:rFonts w:ascii="Roboto" w:hAnsi="Roboto" w:cs="Segoe UI"/>
          <w:lang w:val="en"/>
        </w:rPr>
      </w:pPr>
      <w:r w:rsidRPr="5D6A73B6">
        <w:rPr>
          <w:rFonts w:ascii="Roboto" w:hAnsi="Roboto" w:cs="Segoe UI"/>
          <w:lang w:val="en"/>
        </w:rPr>
        <w:t>The university must complete and sign the university certification section of the Teaching Payment claim form before the student attends the teaching session at the practice.</w:t>
      </w:r>
      <w:r>
        <w:br/>
      </w:r>
      <w:r w:rsidR="008D5378">
        <w:rPr>
          <w:rFonts w:ascii="Roboto" w:hAnsi="Roboto" w:cs="Segoe UI"/>
          <w:lang w:val="en"/>
        </w:rPr>
        <w:br/>
      </w:r>
      <w:r>
        <w:rPr>
          <w:rFonts w:ascii="Roboto" w:hAnsi="Roboto" w:cs="Segoe UI"/>
          <w:lang w:val="en"/>
        </w:rPr>
        <w:t>After the teaching session:</w:t>
      </w:r>
    </w:p>
    <w:p w14:paraId="27BFE8B6" w14:textId="77777777" w:rsidR="00540CF0" w:rsidRPr="008D5378" w:rsidRDefault="00540CF0" w:rsidP="00B57B0E">
      <w:pPr>
        <w:numPr>
          <w:ilvl w:val="0"/>
          <w:numId w:val="7"/>
        </w:numPr>
        <w:tabs>
          <w:tab w:val="clear" w:pos="720"/>
          <w:tab w:val="num" w:pos="426"/>
        </w:tabs>
        <w:spacing w:before="100" w:beforeAutospacing="1" w:after="100" w:afterAutospacing="1" w:line="240" w:lineRule="auto"/>
        <w:ind w:left="426"/>
        <w:rPr>
          <w:rFonts w:ascii="Roboto" w:hAnsi="Roboto" w:cs="Segoe UI"/>
          <w:sz w:val="24"/>
          <w:szCs w:val="24"/>
          <w:lang w:val="en"/>
        </w:rPr>
      </w:pPr>
      <w:r w:rsidRPr="008D5378">
        <w:rPr>
          <w:rFonts w:ascii="Roboto" w:hAnsi="Roboto" w:cs="Segoe UI"/>
          <w:sz w:val="24"/>
          <w:szCs w:val="24"/>
          <w:lang w:val="en"/>
        </w:rPr>
        <w:t>the student and the GP must sign the student attendance section of the claim form</w:t>
      </w:r>
    </w:p>
    <w:p w14:paraId="084F620A" w14:textId="6FABEAD9" w:rsidR="00540CF0" w:rsidRPr="008D5378" w:rsidRDefault="00540CF0" w:rsidP="5D6A73B6">
      <w:pPr>
        <w:numPr>
          <w:ilvl w:val="0"/>
          <w:numId w:val="7"/>
        </w:numPr>
        <w:tabs>
          <w:tab w:val="clear" w:pos="720"/>
          <w:tab w:val="num" w:pos="426"/>
        </w:tabs>
        <w:spacing w:before="100" w:beforeAutospacing="1" w:after="100" w:afterAutospacing="1" w:line="240" w:lineRule="auto"/>
        <w:ind w:left="426"/>
        <w:rPr>
          <w:rFonts w:ascii="Roboto" w:hAnsi="Roboto" w:cs="Segoe UI"/>
          <w:sz w:val="24"/>
          <w:szCs w:val="24"/>
          <w:lang w:val="en-US"/>
        </w:rPr>
      </w:pPr>
      <w:r w:rsidRPr="008D5378">
        <w:rPr>
          <w:rFonts w:ascii="Roboto" w:hAnsi="Roboto" w:cs="Segoe UI"/>
          <w:sz w:val="24"/>
          <w:szCs w:val="24"/>
          <w:lang w:val="en-US"/>
        </w:rPr>
        <w:t>the practice must send a copy of the completed claim form to the university for their records</w:t>
      </w:r>
      <w:r w:rsidR="0F92D5B1" w:rsidRPr="008D5378">
        <w:rPr>
          <w:rFonts w:ascii="Roboto" w:hAnsi="Roboto" w:cs="Segoe UI"/>
          <w:sz w:val="24"/>
          <w:szCs w:val="24"/>
          <w:lang w:val="en-US"/>
        </w:rPr>
        <w:t>.</w:t>
      </w:r>
    </w:p>
    <w:p w14:paraId="6870DDE4" w14:textId="77777777" w:rsidR="00540CF0" w:rsidRDefault="00540CF0" w:rsidP="00540CF0">
      <w:pPr>
        <w:pStyle w:val="Heading2"/>
        <w:rPr>
          <w:rFonts w:ascii="Roboto" w:hAnsi="Roboto" w:cs="Segoe UI"/>
          <w:lang w:val="en"/>
        </w:rPr>
      </w:pPr>
      <w:r>
        <w:rPr>
          <w:rFonts w:ascii="Roboto" w:hAnsi="Roboto" w:cs="Segoe UI"/>
          <w:lang w:val="en"/>
        </w:rPr>
        <w:t>Practice Details</w:t>
      </w:r>
    </w:p>
    <w:p w14:paraId="41794A91" w14:textId="0ECD0270" w:rsidR="00540CF0" w:rsidRPr="008D5378" w:rsidRDefault="00540CF0" w:rsidP="00540CF0">
      <w:pPr>
        <w:pStyle w:val="NormalWeb"/>
        <w:rPr>
          <w:rFonts w:ascii="Roboto" w:hAnsi="Roboto" w:cs="Segoe UI"/>
          <w:lang w:val="en"/>
        </w:rPr>
      </w:pPr>
      <w:r w:rsidRPr="5D6A73B6">
        <w:rPr>
          <w:rFonts w:ascii="Roboto" w:hAnsi="Roboto" w:cs="Segoe UI"/>
          <w:lang w:val="en-US"/>
        </w:rPr>
        <w:t>We make payments each quarter after the teaching claims have been submitted and processed.</w:t>
      </w:r>
      <w:r>
        <w:br/>
      </w:r>
      <w:r w:rsidR="008D5378">
        <w:rPr>
          <w:rFonts w:ascii="Roboto" w:hAnsi="Roboto" w:cs="Segoe UI"/>
          <w:lang w:val="en-US"/>
        </w:rPr>
        <w:br/>
      </w:r>
      <w:r w:rsidRPr="5D6A73B6">
        <w:rPr>
          <w:rFonts w:ascii="Roboto" w:hAnsi="Roboto" w:cs="Segoe UI"/>
          <w:lang w:val="en-US"/>
        </w:rPr>
        <w:t>We can’t process incorrect or incomplete claim forms.</w:t>
      </w:r>
      <w:r>
        <w:br/>
      </w:r>
      <w:r w:rsidR="008D5378">
        <w:rPr>
          <w:rFonts w:ascii="Roboto" w:hAnsi="Roboto" w:cs="Segoe UI"/>
          <w:lang w:val="en"/>
        </w:rPr>
        <w:br/>
      </w:r>
      <w:r w:rsidRPr="008D5378">
        <w:rPr>
          <w:rFonts w:ascii="Roboto" w:hAnsi="Roboto" w:cs="Segoe UI"/>
          <w:lang w:val="en"/>
        </w:rPr>
        <w:t>The form must have:</w:t>
      </w:r>
    </w:p>
    <w:p w14:paraId="652E7936" w14:textId="77777777" w:rsidR="00540CF0" w:rsidRPr="008D5378" w:rsidRDefault="00540CF0" w:rsidP="00B57B0E">
      <w:pPr>
        <w:numPr>
          <w:ilvl w:val="0"/>
          <w:numId w:val="8"/>
        </w:numPr>
        <w:tabs>
          <w:tab w:val="clear" w:pos="720"/>
          <w:tab w:val="num" w:pos="426"/>
        </w:tabs>
        <w:spacing w:before="100" w:beforeAutospacing="1" w:after="100" w:afterAutospacing="1" w:line="240" w:lineRule="auto"/>
        <w:ind w:left="426"/>
        <w:rPr>
          <w:rFonts w:ascii="Roboto" w:hAnsi="Roboto" w:cs="Segoe UI"/>
          <w:sz w:val="24"/>
          <w:szCs w:val="24"/>
          <w:lang w:val="en"/>
        </w:rPr>
      </w:pPr>
      <w:r w:rsidRPr="008D5378">
        <w:rPr>
          <w:rFonts w:ascii="Roboto" w:hAnsi="Roboto" w:cs="Segoe UI"/>
          <w:sz w:val="24"/>
          <w:szCs w:val="24"/>
          <w:lang w:val="en"/>
        </w:rPr>
        <w:t>details of the university, including the university name and full name and signature of a university staff member, completed before the student starts the placement</w:t>
      </w:r>
    </w:p>
    <w:p w14:paraId="42ECF2F8" w14:textId="77777777" w:rsidR="00540CF0" w:rsidRPr="008D5378" w:rsidRDefault="00540CF0" w:rsidP="00B57B0E">
      <w:pPr>
        <w:numPr>
          <w:ilvl w:val="0"/>
          <w:numId w:val="8"/>
        </w:numPr>
        <w:tabs>
          <w:tab w:val="clear" w:pos="720"/>
          <w:tab w:val="num" w:pos="426"/>
        </w:tabs>
        <w:spacing w:before="100" w:beforeAutospacing="1" w:after="100" w:afterAutospacing="1" w:line="240" w:lineRule="auto"/>
        <w:ind w:left="426"/>
        <w:rPr>
          <w:rFonts w:ascii="Roboto" w:hAnsi="Roboto" w:cs="Segoe UI"/>
          <w:sz w:val="24"/>
          <w:szCs w:val="24"/>
          <w:lang w:val="en"/>
        </w:rPr>
      </w:pPr>
      <w:r w:rsidRPr="008D5378">
        <w:rPr>
          <w:rFonts w:ascii="Roboto" w:hAnsi="Roboto" w:cs="Segoe UI"/>
          <w:sz w:val="24"/>
          <w:szCs w:val="24"/>
          <w:lang w:val="en"/>
        </w:rPr>
        <w:t>the student’s name, student ID number, the date of the session, the number of sessions and the signature of the student</w:t>
      </w:r>
    </w:p>
    <w:p w14:paraId="1731F295" w14:textId="2D750E3B" w:rsidR="00540CF0" w:rsidRPr="008D5378" w:rsidRDefault="00540CF0" w:rsidP="00B57B0E">
      <w:pPr>
        <w:numPr>
          <w:ilvl w:val="0"/>
          <w:numId w:val="8"/>
        </w:numPr>
        <w:tabs>
          <w:tab w:val="clear" w:pos="720"/>
          <w:tab w:val="num" w:pos="426"/>
        </w:tabs>
        <w:spacing w:before="100" w:beforeAutospacing="1" w:after="100" w:afterAutospacing="1" w:line="240" w:lineRule="auto"/>
        <w:ind w:left="426"/>
        <w:rPr>
          <w:rFonts w:ascii="Roboto" w:hAnsi="Roboto" w:cs="Segoe UI"/>
          <w:sz w:val="24"/>
          <w:szCs w:val="24"/>
          <w:lang w:val="en"/>
        </w:rPr>
      </w:pPr>
      <w:r w:rsidRPr="008D5378">
        <w:rPr>
          <w:rFonts w:ascii="Roboto" w:hAnsi="Roboto" w:cs="Segoe UI"/>
          <w:sz w:val="24"/>
          <w:szCs w:val="24"/>
          <w:lang w:val="en"/>
        </w:rPr>
        <w:t xml:space="preserve">the signature of the GP who supervised </w:t>
      </w:r>
      <w:r w:rsidR="002C5EC8" w:rsidRPr="008D5378">
        <w:rPr>
          <w:rFonts w:ascii="Roboto" w:hAnsi="Roboto" w:cs="Segoe UI"/>
          <w:sz w:val="24"/>
          <w:szCs w:val="24"/>
          <w:lang w:val="en"/>
        </w:rPr>
        <w:t xml:space="preserve">the </w:t>
      </w:r>
      <w:r w:rsidRPr="008D5378">
        <w:rPr>
          <w:rFonts w:ascii="Roboto" w:hAnsi="Roboto" w:cs="Segoe UI"/>
          <w:sz w:val="24"/>
          <w:szCs w:val="24"/>
          <w:lang w:val="en"/>
        </w:rPr>
        <w:t>teaching session</w:t>
      </w:r>
    </w:p>
    <w:p w14:paraId="7233F37A" w14:textId="393335C7" w:rsidR="00540CF0" w:rsidRDefault="00540CF0" w:rsidP="5D6A73B6">
      <w:pPr>
        <w:numPr>
          <w:ilvl w:val="0"/>
          <w:numId w:val="8"/>
        </w:numPr>
        <w:tabs>
          <w:tab w:val="clear" w:pos="720"/>
          <w:tab w:val="num" w:pos="426"/>
        </w:tabs>
        <w:spacing w:before="100" w:beforeAutospacing="1" w:after="100" w:afterAutospacing="1" w:line="240" w:lineRule="auto"/>
        <w:ind w:left="426"/>
        <w:rPr>
          <w:rFonts w:ascii="Roboto" w:hAnsi="Roboto" w:cs="Segoe UI"/>
          <w:lang w:val="en"/>
        </w:rPr>
      </w:pPr>
      <w:r w:rsidRPr="008D5378">
        <w:rPr>
          <w:rFonts w:ascii="Roboto" w:hAnsi="Roboto" w:cs="Segoe UI"/>
          <w:sz w:val="24"/>
          <w:szCs w:val="24"/>
          <w:lang w:val="en"/>
        </w:rPr>
        <w:t>details of the practice providing the teaching sessions, signed by the practice’s owner or authorised contact person after the teaching sessions have taken place</w:t>
      </w:r>
      <w:r w:rsidR="2C352C3D" w:rsidRPr="008D5378">
        <w:rPr>
          <w:rFonts w:ascii="Roboto" w:hAnsi="Roboto" w:cs="Segoe UI"/>
          <w:sz w:val="24"/>
          <w:szCs w:val="24"/>
          <w:lang w:val="en"/>
        </w:rPr>
        <w:t>.</w:t>
      </w:r>
      <w:r>
        <w:br/>
      </w:r>
    </w:p>
    <w:p w14:paraId="688205EA" w14:textId="36184A0E" w:rsidR="00540CF0" w:rsidRDefault="00540CF0" w:rsidP="477B6930">
      <w:pPr>
        <w:pStyle w:val="NormalWeb"/>
        <w:rPr>
          <w:rFonts w:ascii="Roboto" w:hAnsi="Roboto" w:cs="Segoe UI"/>
          <w:lang w:val="en-US"/>
        </w:rPr>
      </w:pPr>
      <w:r w:rsidRPr="5D6A73B6">
        <w:rPr>
          <w:rFonts w:ascii="Roboto" w:hAnsi="Roboto" w:cs="Segoe UI"/>
          <w:lang w:val="en"/>
        </w:rPr>
        <w:t>Claim forms must be received by the cut-off date in the table below to get a payment in the next payment quarter.</w:t>
      </w:r>
      <w:r w:rsidR="00500947" w:rsidRPr="5D6A73B6">
        <w:rPr>
          <w:rFonts w:ascii="Roboto" w:hAnsi="Roboto" w:cs="Segoe UI"/>
          <w:lang w:val="en"/>
        </w:rPr>
        <w:t xml:space="preserve"> </w:t>
      </w:r>
      <w:r w:rsidR="008D5378">
        <w:rPr>
          <w:rFonts w:ascii="Roboto" w:hAnsi="Roboto" w:cs="Segoe UI"/>
          <w:lang w:val="en"/>
        </w:rPr>
        <w:br/>
      </w:r>
      <w:r>
        <w:br/>
      </w:r>
      <w:r w:rsidRPr="477B6930">
        <w:rPr>
          <w:rFonts w:ascii="Roboto" w:hAnsi="Roboto" w:cs="Segoe UI"/>
          <w:lang w:val="en-US"/>
        </w:rPr>
        <w:t>Practices must retain a copy of the teaching payment claims, including those submitted through HPOS, for 6 years.</w:t>
      </w:r>
    </w:p>
    <w:p w14:paraId="5F29C091" w14:textId="77777777" w:rsidR="00540CF0" w:rsidRDefault="00540CF0" w:rsidP="477B6930">
      <w:pPr>
        <w:pStyle w:val="Heading6"/>
        <w:rPr>
          <w:rFonts w:ascii="Roboto" w:hAnsi="Roboto" w:cs="Segoe UI"/>
          <w:lang w:val="en-US"/>
        </w:rPr>
      </w:pPr>
      <w:r w:rsidRPr="477B6930">
        <w:rPr>
          <w:rFonts w:ascii="Roboto" w:hAnsi="Roboto" w:cs="Segoe UI"/>
          <w:lang w:val="en-US"/>
        </w:rPr>
        <w:lastRenderedPageBreak/>
        <w:t>Payment and cut-off dates for submitting claim forms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2"/>
        <w:gridCol w:w="2268"/>
      </w:tblGrid>
      <w:tr w:rsidR="00352E83" w14:paraId="1C622B9D" w14:textId="77777777" w:rsidTr="00A174CA">
        <w:trPr>
          <w:tblHeader/>
        </w:trPr>
        <w:tc>
          <w:tcPr>
            <w:tcW w:w="2142" w:type="dxa"/>
            <w:vAlign w:val="center"/>
            <w:hideMark/>
          </w:tcPr>
          <w:p w14:paraId="5FCD5D5B" w14:textId="77777777" w:rsidR="00352E83" w:rsidRDefault="00352E83">
            <w:pPr>
              <w:jc w:val="center"/>
              <w:rPr>
                <w:rFonts w:ascii="Roboto" w:hAnsi="Roboto"/>
                <w:b/>
                <w:bCs/>
              </w:rPr>
            </w:pPr>
            <w:r>
              <w:rPr>
                <w:rFonts w:ascii="Roboto" w:hAnsi="Roboto"/>
                <w:b/>
                <w:bCs/>
              </w:rPr>
              <w:t>Form submitted by</w:t>
            </w:r>
          </w:p>
        </w:tc>
        <w:tc>
          <w:tcPr>
            <w:tcW w:w="2268" w:type="dxa"/>
            <w:vAlign w:val="center"/>
            <w:hideMark/>
          </w:tcPr>
          <w:p w14:paraId="64834E5D" w14:textId="77777777" w:rsidR="00352E83" w:rsidRDefault="00352E83">
            <w:pPr>
              <w:jc w:val="center"/>
              <w:rPr>
                <w:rFonts w:ascii="Roboto" w:hAnsi="Roboto"/>
                <w:b/>
                <w:bCs/>
              </w:rPr>
            </w:pPr>
            <w:r>
              <w:rPr>
                <w:rFonts w:ascii="Roboto" w:hAnsi="Roboto"/>
                <w:b/>
                <w:bCs/>
              </w:rPr>
              <w:t>Payment made</w:t>
            </w:r>
          </w:p>
        </w:tc>
      </w:tr>
      <w:tr w:rsidR="00352E83" w14:paraId="2D5EFA3F" w14:textId="77777777" w:rsidTr="00A174CA">
        <w:tc>
          <w:tcPr>
            <w:tcW w:w="2142" w:type="dxa"/>
            <w:vAlign w:val="center"/>
            <w:hideMark/>
          </w:tcPr>
          <w:p w14:paraId="7D2FFA1A" w14:textId="77777777" w:rsidR="00352E83" w:rsidRDefault="00352E83" w:rsidP="00B359E6">
            <w:pPr>
              <w:rPr>
                <w:rFonts w:ascii="Roboto" w:hAnsi="Roboto"/>
              </w:rPr>
            </w:pPr>
            <w:r>
              <w:rPr>
                <w:rFonts w:ascii="Roboto" w:hAnsi="Roboto"/>
              </w:rPr>
              <w:t>24 January</w:t>
            </w:r>
          </w:p>
        </w:tc>
        <w:tc>
          <w:tcPr>
            <w:tcW w:w="2268" w:type="dxa"/>
            <w:vAlign w:val="center"/>
            <w:hideMark/>
          </w:tcPr>
          <w:p w14:paraId="349AB002" w14:textId="77777777" w:rsidR="00352E83" w:rsidRDefault="00352E83" w:rsidP="00B359E6">
            <w:pPr>
              <w:rPr>
                <w:rFonts w:ascii="Roboto" w:hAnsi="Roboto"/>
              </w:rPr>
            </w:pPr>
            <w:r>
              <w:rPr>
                <w:rFonts w:ascii="Roboto" w:hAnsi="Roboto"/>
              </w:rPr>
              <w:t>February</w:t>
            </w:r>
          </w:p>
        </w:tc>
      </w:tr>
      <w:tr w:rsidR="00352E83" w14:paraId="097E87CA" w14:textId="77777777" w:rsidTr="00A174CA">
        <w:tc>
          <w:tcPr>
            <w:tcW w:w="2142" w:type="dxa"/>
            <w:vAlign w:val="center"/>
            <w:hideMark/>
          </w:tcPr>
          <w:p w14:paraId="2FB2FB3C" w14:textId="77777777" w:rsidR="00352E83" w:rsidRDefault="00352E83" w:rsidP="00B359E6">
            <w:pPr>
              <w:rPr>
                <w:rFonts w:ascii="Roboto" w:hAnsi="Roboto"/>
              </w:rPr>
            </w:pPr>
            <w:r>
              <w:rPr>
                <w:rFonts w:ascii="Roboto" w:hAnsi="Roboto"/>
              </w:rPr>
              <w:t>23 April</w:t>
            </w:r>
          </w:p>
        </w:tc>
        <w:tc>
          <w:tcPr>
            <w:tcW w:w="2268" w:type="dxa"/>
            <w:vAlign w:val="center"/>
            <w:hideMark/>
          </w:tcPr>
          <w:p w14:paraId="005CF70E" w14:textId="77777777" w:rsidR="00352E83" w:rsidRDefault="00352E83" w:rsidP="00B359E6">
            <w:pPr>
              <w:rPr>
                <w:rFonts w:ascii="Roboto" w:hAnsi="Roboto"/>
              </w:rPr>
            </w:pPr>
            <w:r>
              <w:rPr>
                <w:rFonts w:ascii="Roboto" w:hAnsi="Roboto"/>
              </w:rPr>
              <w:t>May</w:t>
            </w:r>
          </w:p>
        </w:tc>
      </w:tr>
      <w:tr w:rsidR="00352E83" w14:paraId="674ADD2D" w14:textId="77777777" w:rsidTr="00A174CA">
        <w:tc>
          <w:tcPr>
            <w:tcW w:w="2142" w:type="dxa"/>
            <w:vAlign w:val="center"/>
            <w:hideMark/>
          </w:tcPr>
          <w:p w14:paraId="562C1099" w14:textId="77777777" w:rsidR="00352E83" w:rsidRDefault="00352E83" w:rsidP="00B359E6">
            <w:pPr>
              <w:rPr>
                <w:rFonts w:ascii="Roboto" w:hAnsi="Roboto"/>
              </w:rPr>
            </w:pPr>
            <w:r>
              <w:rPr>
                <w:rFonts w:ascii="Roboto" w:hAnsi="Roboto"/>
              </w:rPr>
              <w:t>24 July</w:t>
            </w:r>
          </w:p>
        </w:tc>
        <w:tc>
          <w:tcPr>
            <w:tcW w:w="2268" w:type="dxa"/>
            <w:vAlign w:val="center"/>
            <w:hideMark/>
          </w:tcPr>
          <w:p w14:paraId="738598FB" w14:textId="77777777" w:rsidR="00352E83" w:rsidRDefault="00352E83" w:rsidP="00B359E6">
            <w:pPr>
              <w:rPr>
                <w:rFonts w:ascii="Roboto" w:hAnsi="Roboto"/>
              </w:rPr>
            </w:pPr>
            <w:r>
              <w:rPr>
                <w:rFonts w:ascii="Roboto" w:hAnsi="Roboto"/>
              </w:rPr>
              <w:t>August</w:t>
            </w:r>
          </w:p>
        </w:tc>
      </w:tr>
      <w:tr w:rsidR="00352E83" w14:paraId="1B38BD84" w14:textId="77777777" w:rsidTr="00A174CA">
        <w:tc>
          <w:tcPr>
            <w:tcW w:w="2142" w:type="dxa"/>
            <w:vAlign w:val="center"/>
            <w:hideMark/>
          </w:tcPr>
          <w:p w14:paraId="3E13FB43" w14:textId="77777777" w:rsidR="00352E83" w:rsidRDefault="00352E83" w:rsidP="00B359E6">
            <w:pPr>
              <w:rPr>
                <w:rFonts w:ascii="Roboto" w:hAnsi="Roboto"/>
              </w:rPr>
            </w:pPr>
            <w:r>
              <w:rPr>
                <w:rFonts w:ascii="Roboto" w:hAnsi="Roboto"/>
              </w:rPr>
              <w:t>24 October</w:t>
            </w:r>
          </w:p>
        </w:tc>
        <w:tc>
          <w:tcPr>
            <w:tcW w:w="2268" w:type="dxa"/>
            <w:vAlign w:val="center"/>
            <w:hideMark/>
          </w:tcPr>
          <w:p w14:paraId="1F9B131B" w14:textId="77777777" w:rsidR="00352E83" w:rsidRDefault="00352E83" w:rsidP="00B359E6">
            <w:pPr>
              <w:rPr>
                <w:rFonts w:ascii="Roboto" w:hAnsi="Roboto"/>
              </w:rPr>
            </w:pPr>
            <w:r>
              <w:rPr>
                <w:rFonts w:ascii="Roboto" w:hAnsi="Roboto"/>
              </w:rPr>
              <w:t>November</w:t>
            </w:r>
          </w:p>
        </w:tc>
      </w:tr>
    </w:tbl>
    <w:p w14:paraId="6ACB2819" w14:textId="77777777" w:rsidR="00540CF0" w:rsidRDefault="00540CF0" w:rsidP="477B6930">
      <w:pPr>
        <w:pStyle w:val="Heading2"/>
        <w:rPr>
          <w:rFonts w:ascii="Roboto" w:hAnsi="Roboto" w:cs="Segoe UI"/>
          <w:lang w:val="en-US"/>
        </w:rPr>
      </w:pPr>
      <w:proofErr w:type="spellStart"/>
      <w:r w:rsidRPr="477B6930">
        <w:rPr>
          <w:rFonts w:ascii="Roboto" w:hAnsi="Roboto" w:cs="Segoe UI"/>
          <w:lang w:val="en-US"/>
        </w:rPr>
        <w:t>Organising</w:t>
      </w:r>
      <w:proofErr w:type="spellEnd"/>
      <w:r w:rsidRPr="477B6930">
        <w:rPr>
          <w:rFonts w:ascii="Roboto" w:hAnsi="Roboto" w:cs="Segoe UI"/>
          <w:lang w:val="en-US"/>
        </w:rPr>
        <w:t xml:space="preserve"> student placements</w:t>
      </w:r>
    </w:p>
    <w:p w14:paraId="18C5A1F6" w14:textId="531220C8" w:rsidR="00540CF0" w:rsidRDefault="00540CF0" w:rsidP="00540CF0">
      <w:pPr>
        <w:pStyle w:val="NormalWeb"/>
        <w:rPr>
          <w:rFonts w:ascii="Roboto" w:hAnsi="Roboto" w:cs="Segoe UI"/>
          <w:lang w:val="en"/>
        </w:rPr>
      </w:pPr>
      <w:r w:rsidRPr="477B6930">
        <w:rPr>
          <w:rFonts w:ascii="Roboto" w:hAnsi="Roboto" w:cs="Segoe UI"/>
          <w:lang w:val="en-US"/>
        </w:rPr>
        <w:t>We don’t arrange student placements.</w:t>
      </w:r>
      <w:r w:rsidR="65FA39B4" w:rsidRPr="477B6930">
        <w:rPr>
          <w:rFonts w:ascii="Roboto" w:hAnsi="Roboto" w:cs="Segoe UI"/>
          <w:lang w:val="en-US"/>
        </w:rPr>
        <w:t xml:space="preserve"> </w:t>
      </w:r>
      <w:r w:rsidR="4CF55BF0" w:rsidRPr="5D6A73B6">
        <w:rPr>
          <w:rFonts w:ascii="Roboto" w:hAnsi="Roboto" w:cs="Segoe UI"/>
          <w:lang w:val="en"/>
        </w:rPr>
        <w:t>P</w:t>
      </w:r>
      <w:r w:rsidRPr="5D6A73B6">
        <w:rPr>
          <w:rFonts w:ascii="Roboto" w:hAnsi="Roboto" w:cs="Segoe UI"/>
          <w:lang w:val="en"/>
        </w:rPr>
        <w:t>ractices should contact their nearest university medical school for information about hosting medical students.</w:t>
      </w:r>
    </w:p>
    <w:p w14:paraId="70E31B8D" w14:textId="77777777" w:rsidR="00540CF0" w:rsidRDefault="00540CF0" w:rsidP="00540CF0">
      <w:pPr>
        <w:pStyle w:val="Heading2"/>
        <w:rPr>
          <w:rFonts w:ascii="Roboto" w:hAnsi="Roboto" w:cs="Segoe UI"/>
          <w:lang w:val="en"/>
        </w:rPr>
      </w:pPr>
      <w:r>
        <w:rPr>
          <w:rFonts w:ascii="Roboto" w:hAnsi="Roboto" w:cs="Segoe UI"/>
          <w:lang w:val="en"/>
        </w:rPr>
        <w:t>Obligations</w:t>
      </w:r>
    </w:p>
    <w:p w14:paraId="53A4F179" w14:textId="77777777" w:rsidR="00540CF0" w:rsidRDefault="00540CF0" w:rsidP="00540CF0">
      <w:pPr>
        <w:pStyle w:val="NormalWeb"/>
        <w:rPr>
          <w:rFonts w:ascii="Roboto" w:hAnsi="Roboto" w:cs="Segoe UI"/>
          <w:lang w:val="en"/>
        </w:rPr>
      </w:pPr>
      <w:r>
        <w:rPr>
          <w:rFonts w:ascii="Roboto" w:hAnsi="Roboto" w:cs="Segoe UI"/>
          <w:lang w:val="en"/>
        </w:rPr>
        <w:t>Practices need to:</w:t>
      </w:r>
    </w:p>
    <w:p w14:paraId="79D09588" w14:textId="77777777" w:rsidR="00540CF0" w:rsidRPr="008D5378" w:rsidRDefault="00540CF0" w:rsidP="00B57B0E">
      <w:pPr>
        <w:numPr>
          <w:ilvl w:val="0"/>
          <w:numId w:val="9"/>
        </w:numPr>
        <w:tabs>
          <w:tab w:val="clear" w:pos="720"/>
          <w:tab w:val="num" w:pos="426"/>
        </w:tabs>
        <w:spacing w:before="100" w:beforeAutospacing="1" w:after="100" w:afterAutospacing="1" w:line="240" w:lineRule="auto"/>
        <w:ind w:left="426"/>
        <w:rPr>
          <w:rFonts w:ascii="Roboto" w:hAnsi="Roboto" w:cs="Segoe UI"/>
          <w:sz w:val="24"/>
          <w:szCs w:val="24"/>
          <w:lang w:val="en"/>
        </w:rPr>
      </w:pPr>
      <w:r w:rsidRPr="008D5378">
        <w:rPr>
          <w:rFonts w:ascii="Roboto" w:hAnsi="Roboto" w:cs="Segoe UI"/>
          <w:sz w:val="24"/>
          <w:szCs w:val="24"/>
          <w:lang w:val="en"/>
        </w:rPr>
        <w:t>keep documentary evidence of the teaching sessions provided to medical students</w:t>
      </w:r>
    </w:p>
    <w:p w14:paraId="520575CC" w14:textId="5CDDD7D9" w:rsidR="00540CF0" w:rsidRPr="008D5378" w:rsidRDefault="00540CF0" w:rsidP="00B57B0E">
      <w:pPr>
        <w:numPr>
          <w:ilvl w:val="0"/>
          <w:numId w:val="9"/>
        </w:numPr>
        <w:tabs>
          <w:tab w:val="clear" w:pos="720"/>
          <w:tab w:val="num" w:pos="426"/>
        </w:tabs>
        <w:spacing w:before="100" w:beforeAutospacing="1" w:after="100" w:afterAutospacing="1" w:line="240" w:lineRule="auto"/>
        <w:ind w:left="426"/>
        <w:rPr>
          <w:rFonts w:ascii="Roboto" w:hAnsi="Roboto" w:cs="Segoe UI"/>
          <w:sz w:val="24"/>
          <w:szCs w:val="24"/>
          <w:lang w:val="en"/>
        </w:rPr>
      </w:pPr>
      <w:r w:rsidRPr="008D5378">
        <w:rPr>
          <w:rFonts w:ascii="Roboto" w:hAnsi="Roboto" w:cs="Segoe UI"/>
          <w:sz w:val="24"/>
          <w:szCs w:val="24"/>
          <w:lang w:val="en"/>
        </w:rPr>
        <w:t>give information to the Department of Health</w:t>
      </w:r>
      <w:r w:rsidR="00B52268" w:rsidRPr="008D5378">
        <w:rPr>
          <w:rFonts w:ascii="Roboto" w:hAnsi="Roboto" w:cs="Segoe UI"/>
          <w:sz w:val="24"/>
          <w:szCs w:val="24"/>
          <w:lang w:val="en"/>
        </w:rPr>
        <w:t xml:space="preserve"> and </w:t>
      </w:r>
      <w:r w:rsidR="00D21AE8" w:rsidRPr="008D5378">
        <w:rPr>
          <w:rFonts w:ascii="Roboto" w:hAnsi="Roboto" w:cs="Segoe UI"/>
          <w:sz w:val="24"/>
          <w:szCs w:val="24"/>
          <w:lang w:val="en"/>
        </w:rPr>
        <w:t xml:space="preserve">Aged Care </w:t>
      </w:r>
      <w:r w:rsidRPr="008D5378">
        <w:rPr>
          <w:rFonts w:ascii="Roboto" w:hAnsi="Roboto" w:cs="Segoe UI"/>
          <w:sz w:val="24"/>
          <w:szCs w:val="24"/>
          <w:lang w:val="en"/>
        </w:rPr>
        <w:t>(Health) for the ongoing audit process to verify that the practice has met eligibility requirements</w:t>
      </w:r>
    </w:p>
    <w:p w14:paraId="3684E276" w14:textId="77777777" w:rsidR="00540CF0" w:rsidRPr="008D5378" w:rsidRDefault="00540CF0" w:rsidP="00B57B0E">
      <w:pPr>
        <w:numPr>
          <w:ilvl w:val="0"/>
          <w:numId w:val="9"/>
        </w:numPr>
        <w:tabs>
          <w:tab w:val="clear" w:pos="720"/>
          <w:tab w:val="num" w:pos="426"/>
        </w:tabs>
        <w:spacing w:before="100" w:beforeAutospacing="1" w:after="100" w:afterAutospacing="1" w:line="240" w:lineRule="auto"/>
        <w:ind w:left="426"/>
        <w:rPr>
          <w:rFonts w:ascii="Roboto" w:hAnsi="Roboto" w:cs="Segoe UI"/>
          <w:sz w:val="24"/>
          <w:szCs w:val="24"/>
          <w:lang w:val="en"/>
        </w:rPr>
      </w:pPr>
      <w:r w:rsidRPr="008D5378">
        <w:rPr>
          <w:rFonts w:ascii="Roboto" w:hAnsi="Roboto" w:cs="Segoe UI"/>
          <w:sz w:val="24"/>
          <w:szCs w:val="24"/>
          <w:lang w:val="en"/>
        </w:rPr>
        <w:t>make sure information given to us is correct</w:t>
      </w:r>
    </w:p>
    <w:p w14:paraId="22F08A0F" w14:textId="529DC250" w:rsidR="00540CF0" w:rsidRPr="008D5378" w:rsidRDefault="00540CF0" w:rsidP="5D6A73B6">
      <w:pPr>
        <w:numPr>
          <w:ilvl w:val="0"/>
          <w:numId w:val="9"/>
        </w:numPr>
        <w:tabs>
          <w:tab w:val="clear" w:pos="720"/>
          <w:tab w:val="num" w:pos="426"/>
        </w:tabs>
        <w:spacing w:before="100" w:beforeAutospacing="1" w:after="100" w:afterAutospacing="1" w:line="240" w:lineRule="auto"/>
        <w:ind w:left="426"/>
        <w:rPr>
          <w:rFonts w:ascii="Roboto" w:hAnsi="Roboto" w:cs="Segoe UI"/>
          <w:sz w:val="24"/>
          <w:szCs w:val="24"/>
          <w:lang w:val="en"/>
        </w:rPr>
      </w:pPr>
      <w:r w:rsidRPr="008D5378">
        <w:rPr>
          <w:rFonts w:ascii="Roboto" w:hAnsi="Roboto" w:cs="Segoe UI"/>
          <w:sz w:val="24"/>
          <w:szCs w:val="24"/>
          <w:lang w:val="en"/>
        </w:rPr>
        <w:t>tell us in writing of any changes to practice arrangements at least 7 days before the relevant point in time date</w:t>
      </w:r>
    </w:p>
    <w:p w14:paraId="00ED15FA" w14:textId="4F58377E" w:rsidR="00540CF0" w:rsidRPr="008D5378" w:rsidRDefault="00540CF0" w:rsidP="5D6A73B6">
      <w:pPr>
        <w:numPr>
          <w:ilvl w:val="0"/>
          <w:numId w:val="9"/>
        </w:numPr>
        <w:tabs>
          <w:tab w:val="clear" w:pos="720"/>
          <w:tab w:val="num" w:pos="426"/>
        </w:tabs>
        <w:spacing w:before="100" w:beforeAutospacing="1" w:after="100" w:afterAutospacing="1" w:line="240" w:lineRule="auto"/>
        <w:ind w:left="426"/>
        <w:rPr>
          <w:rFonts w:ascii="Roboto" w:hAnsi="Roboto" w:cs="Segoe UI"/>
          <w:sz w:val="24"/>
          <w:szCs w:val="24"/>
          <w:lang w:val="en-US"/>
        </w:rPr>
      </w:pPr>
      <w:r w:rsidRPr="008D5378">
        <w:rPr>
          <w:rFonts w:ascii="Roboto" w:hAnsi="Roboto" w:cs="Segoe UI"/>
          <w:sz w:val="24"/>
          <w:szCs w:val="24"/>
          <w:lang w:val="en-US"/>
        </w:rPr>
        <w:t>nominate an authorised contact person who can confirm, on the practice’s behalf, any changes for PIP claims and payments</w:t>
      </w:r>
      <w:r w:rsidR="440A9866" w:rsidRPr="008D5378">
        <w:rPr>
          <w:rFonts w:ascii="Roboto" w:hAnsi="Roboto" w:cs="Segoe UI"/>
          <w:sz w:val="24"/>
          <w:szCs w:val="24"/>
          <w:lang w:val="en-US"/>
        </w:rPr>
        <w:t>.</w:t>
      </w:r>
    </w:p>
    <w:p w14:paraId="2270D7F6" w14:textId="77777777" w:rsidR="00BC420C" w:rsidRDefault="00BC420C" w:rsidP="00BC420C">
      <w:pPr>
        <w:pStyle w:val="Heading2"/>
        <w:rPr>
          <w:rFonts w:ascii="Roboto" w:hAnsi="Roboto" w:cs="Segoe UI"/>
          <w:lang w:val="en"/>
        </w:rPr>
      </w:pPr>
      <w:r>
        <w:rPr>
          <w:rFonts w:ascii="Roboto" w:hAnsi="Roboto" w:cs="Segoe UI"/>
          <w:lang w:val="en"/>
        </w:rPr>
        <w:t>Privacy and consent</w:t>
      </w:r>
    </w:p>
    <w:p w14:paraId="5E19BE6D" w14:textId="09345759" w:rsidR="00BC420C" w:rsidRPr="00BC420C" w:rsidRDefault="7D16FD67">
      <w:pPr>
        <w:pStyle w:val="Heading2"/>
        <w:rPr>
          <w:rFonts w:ascii="Roboto" w:hAnsi="Roboto" w:cs="Segoe UI"/>
          <w:b w:val="0"/>
          <w:bCs w:val="0"/>
          <w:i w:val="0"/>
          <w:iCs w:val="0"/>
          <w:sz w:val="24"/>
          <w:szCs w:val="24"/>
          <w:lang w:val="en" w:eastAsia="en-AU"/>
        </w:rPr>
      </w:pPr>
      <w:r w:rsidRPr="725AE68F">
        <w:rPr>
          <w:rFonts w:ascii="Roboto" w:hAnsi="Roboto" w:cs="Segoe UI"/>
          <w:b w:val="0"/>
          <w:bCs w:val="0"/>
          <w:i w:val="0"/>
          <w:iCs w:val="0"/>
          <w:sz w:val="24"/>
          <w:szCs w:val="24"/>
          <w:lang w:val="en" w:eastAsia="en-AU"/>
        </w:rPr>
        <w:t xml:space="preserve">You can read </w:t>
      </w:r>
      <w:r w:rsidR="00BC420C" w:rsidRPr="725AE68F">
        <w:rPr>
          <w:rFonts w:ascii="Roboto" w:hAnsi="Roboto" w:cs="Segoe UI"/>
          <w:b w:val="0"/>
          <w:bCs w:val="0"/>
          <w:i w:val="0"/>
          <w:iCs w:val="0"/>
          <w:sz w:val="24"/>
          <w:szCs w:val="24"/>
          <w:lang w:val="en" w:eastAsia="en-AU"/>
        </w:rPr>
        <w:t xml:space="preserve">the </w:t>
      </w:r>
      <w:hyperlink r:id="rId10" w:history="1">
        <w:r w:rsidR="00BC420C" w:rsidRPr="725AE68F">
          <w:rPr>
            <w:rStyle w:val="Hyperlink"/>
            <w:rFonts w:ascii="Roboto" w:hAnsi="Roboto" w:cs="Segoe UI"/>
            <w:b w:val="0"/>
            <w:bCs w:val="0"/>
            <w:i w:val="0"/>
            <w:iCs w:val="0"/>
            <w:sz w:val="24"/>
            <w:szCs w:val="24"/>
            <w:lang w:val="en" w:eastAsia="en-AU"/>
          </w:rPr>
          <w:t>PIP Guidelines</w:t>
        </w:r>
      </w:hyperlink>
      <w:r w:rsidR="767EFFC8" w:rsidRPr="725AE68F">
        <w:rPr>
          <w:rFonts w:ascii="Roboto" w:hAnsi="Roboto" w:cs="Segoe UI"/>
          <w:b w:val="0"/>
          <w:bCs w:val="0"/>
          <w:i w:val="0"/>
          <w:iCs w:val="0"/>
          <w:sz w:val="24"/>
          <w:szCs w:val="24"/>
          <w:lang w:val="en" w:eastAsia="en-AU"/>
        </w:rPr>
        <w:t>.</w:t>
      </w:r>
    </w:p>
    <w:p w14:paraId="1CAB3A92" w14:textId="77777777" w:rsidR="00540CF0" w:rsidRDefault="00540CF0" w:rsidP="00BC420C">
      <w:pPr>
        <w:pStyle w:val="Heading2"/>
        <w:rPr>
          <w:rFonts w:ascii="Roboto" w:hAnsi="Roboto" w:cs="Segoe UI"/>
          <w:lang w:val="en"/>
        </w:rPr>
      </w:pPr>
      <w:r>
        <w:rPr>
          <w:rFonts w:ascii="Roboto" w:hAnsi="Roboto" w:cs="Segoe UI"/>
          <w:lang w:val="en"/>
        </w:rPr>
        <w:t>Rights of review</w:t>
      </w:r>
    </w:p>
    <w:p w14:paraId="6FF2C276" w14:textId="77777777" w:rsidR="00540CF0" w:rsidRDefault="00540CF0" w:rsidP="00540CF0">
      <w:pPr>
        <w:pStyle w:val="NormalWeb"/>
        <w:rPr>
          <w:rFonts w:ascii="Roboto" w:hAnsi="Roboto" w:cs="Segoe UI"/>
          <w:lang w:val="en"/>
        </w:rPr>
      </w:pPr>
      <w:r>
        <w:rPr>
          <w:rFonts w:ascii="Roboto" w:hAnsi="Roboto" w:cs="Segoe UI"/>
          <w:lang w:val="en"/>
        </w:rPr>
        <w:t>The PIP has a review of decision process for program decisions.</w:t>
      </w:r>
    </w:p>
    <w:p w14:paraId="4F1B1763" w14:textId="77777777" w:rsidR="00540CF0" w:rsidRDefault="00540CF0" w:rsidP="00540CF0">
      <w:pPr>
        <w:pStyle w:val="NormalWeb"/>
        <w:rPr>
          <w:rFonts w:ascii="Roboto" w:hAnsi="Roboto" w:cs="Segoe UI"/>
          <w:lang w:val="en"/>
        </w:rPr>
      </w:pPr>
      <w:r>
        <w:rPr>
          <w:rFonts w:ascii="Roboto" w:hAnsi="Roboto" w:cs="Segoe UI"/>
          <w:lang w:val="en"/>
        </w:rPr>
        <w:t xml:space="preserve">To ask for a review of a decision, the authorised contact person or owners of the practice must complete the </w:t>
      </w:r>
      <w:hyperlink r:id="rId11" w:history="1">
        <w:r>
          <w:rPr>
            <w:rStyle w:val="Hyperlink"/>
            <w:rFonts w:ascii="Roboto" w:hAnsi="Roboto" w:cs="Segoe UI"/>
            <w:lang w:val="en"/>
          </w:rPr>
          <w:t xml:space="preserve">Practice Incentives Review of </w:t>
        </w:r>
        <w:r w:rsidR="003A3BE7">
          <w:rPr>
            <w:rStyle w:val="Hyperlink"/>
            <w:rFonts w:ascii="Roboto" w:hAnsi="Roboto" w:cs="Segoe UI"/>
            <w:lang w:val="en"/>
          </w:rPr>
          <w:t>d</w:t>
        </w:r>
        <w:r>
          <w:rPr>
            <w:rStyle w:val="Hyperlink"/>
            <w:rFonts w:ascii="Roboto" w:hAnsi="Roboto" w:cs="Segoe UI"/>
            <w:lang w:val="en"/>
          </w:rPr>
          <w:t>ecision form</w:t>
        </w:r>
      </w:hyperlink>
      <w:r w:rsidR="003A3BE7" w:rsidRPr="001B7089">
        <w:rPr>
          <w:rStyle w:val="Hyperlink"/>
        </w:rPr>
        <w:t xml:space="preserve"> (</w:t>
      </w:r>
      <w:r w:rsidR="003A3BE7" w:rsidRPr="00D41703">
        <w:rPr>
          <w:rStyle w:val="Hyperlink"/>
        </w:rPr>
        <w:t>IP027)</w:t>
      </w:r>
      <w:r w:rsidRPr="00D41703">
        <w:rPr>
          <w:rStyle w:val="Hyperlink"/>
        </w:rPr>
        <w:t>.</w:t>
      </w:r>
      <w:r>
        <w:rPr>
          <w:rFonts w:ascii="Roboto" w:hAnsi="Roboto" w:cs="Segoe UI"/>
          <w:lang w:val="en"/>
        </w:rPr>
        <w:t xml:space="preserve"> Send this to us within 28 days of getting the decision you’d like reviewed.</w:t>
      </w:r>
    </w:p>
    <w:p w14:paraId="5D5D07CE" w14:textId="77777777" w:rsidR="00540CF0" w:rsidRDefault="00540CF0" w:rsidP="5D6A73B6">
      <w:pPr>
        <w:pStyle w:val="NormalWeb"/>
        <w:rPr>
          <w:rFonts w:ascii="Roboto" w:hAnsi="Roboto" w:cs="Segoe UI"/>
          <w:lang w:val="en-US"/>
        </w:rPr>
      </w:pPr>
      <w:r w:rsidRPr="5D6A73B6">
        <w:rPr>
          <w:rFonts w:ascii="Roboto" w:hAnsi="Roboto" w:cs="Segoe UI"/>
          <w:lang w:val="en-US"/>
        </w:rPr>
        <w:t>We’ll review the decision and let you know the outcome in writing.</w:t>
      </w:r>
    </w:p>
    <w:p w14:paraId="550157AE" w14:textId="77777777" w:rsidR="00540CF0" w:rsidRDefault="00540CF0" w:rsidP="00540CF0">
      <w:pPr>
        <w:pStyle w:val="Heading2"/>
        <w:rPr>
          <w:rFonts w:ascii="Roboto" w:hAnsi="Roboto" w:cs="Segoe UI"/>
          <w:lang w:val="en"/>
        </w:rPr>
      </w:pPr>
      <w:r>
        <w:rPr>
          <w:rFonts w:ascii="Roboto" w:hAnsi="Roboto" w:cs="Segoe UI"/>
          <w:lang w:val="en"/>
        </w:rPr>
        <w:lastRenderedPageBreak/>
        <w:t>Practice Incentives Program audits</w:t>
      </w:r>
    </w:p>
    <w:p w14:paraId="2F8D92FE" w14:textId="77777777" w:rsidR="00540CF0" w:rsidRDefault="00540CF0" w:rsidP="5D6A73B6">
      <w:pPr>
        <w:pStyle w:val="NormalWeb"/>
        <w:rPr>
          <w:rFonts w:ascii="Roboto" w:hAnsi="Roboto" w:cs="Segoe UI"/>
          <w:lang w:val="en-US"/>
        </w:rPr>
      </w:pPr>
      <w:r w:rsidRPr="5D6A73B6">
        <w:rPr>
          <w:rFonts w:ascii="Roboto" w:hAnsi="Roboto" w:cs="Segoe UI"/>
          <w:lang w:val="en-US"/>
        </w:rPr>
        <w:t xml:space="preserve">Health conducts audits of PIP </w:t>
      </w:r>
      <w:proofErr w:type="gramStart"/>
      <w:r w:rsidRPr="5D6A73B6">
        <w:rPr>
          <w:rFonts w:ascii="Roboto" w:hAnsi="Roboto" w:cs="Segoe UI"/>
          <w:lang w:val="en-US"/>
        </w:rPr>
        <w:t>practices</w:t>
      </w:r>
      <w:proofErr w:type="gramEnd"/>
      <w:r w:rsidRPr="5D6A73B6">
        <w:rPr>
          <w:rFonts w:ascii="Roboto" w:hAnsi="Roboto" w:cs="Segoe UI"/>
          <w:lang w:val="en-US"/>
        </w:rPr>
        <w:t xml:space="preserve"> each year to ensure practices are meeting the requirements outlined in these guidelines. This may include a review of practice documentation. If requested, practices must provide evidence to support their eligibility and claims for payments.</w:t>
      </w:r>
    </w:p>
    <w:p w14:paraId="654CD983" w14:textId="77777777" w:rsidR="00540CF0" w:rsidRDefault="00540CF0" w:rsidP="5D6A73B6">
      <w:pPr>
        <w:pStyle w:val="NormalWeb"/>
        <w:rPr>
          <w:rFonts w:ascii="Roboto" w:hAnsi="Roboto" w:cs="Segoe UI"/>
          <w:lang w:val="en-US"/>
        </w:rPr>
      </w:pPr>
      <w:proofErr w:type="gramStart"/>
      <w:r w:rsidRPr="5D6A73B6">
        <w:rPr>
          <w:rFonts w:ascii="Roboto" w:hAnsi="Roboto" w:cs="Segoe UI"/>
          <w:lang w:val="en-US"/>
        </w:rPr>
        <w:t>For the purpose of</w:t>
      </w:r>
      <w:proofErr w:type="gramEnd"/>
      <w:r w:rsidRPr="5D6A73B6">
        <w:rPr>
          <w:rFonts w:ascii="Roboto" w:hAnsi="Roboto" w:cs="Segoe UI"/>
          <w:lang w:val="en-US"/>
        </w:rPr>
        <w:t xml:space="preserve"> Health’s audits, practices must retain practice documentation for 6 years. Payments may be recovered if a practice is unable to provide evidence to verify that it meets the eligibility requirements or substantiate claims.</w:t>
      </w:r>
    </w:p>
    <w:p w14:paraId="50415C1E" w14:textId="77777777" w:rsidR="003A3BE7" w:rsidRDefault="003A3BE7" w:rsidP="001B7089">
      <w:pPr>
        <w:pStyle w:val="Heading2"/>
        <w:rPr>
          <w:rFonts w:ascii="Roboto" w:hAnsi="Roboto" w:cs="Segoe UI"/>
          <w:lang w:val="en"/>
        </w:rPr>
      </w:pPr>
      <w:r w:rsidRPr="001B7089">
        <w:rPr>
          <w:rFonts w:ascii="Roboto" w:hAnsi="Roboto" w:cs="Segoe UI"/>
          <w:lang w:val="en"/>
        </w:rPr>
        <w:t>For more information</w:t>
      </w:r>
    </w:p>
    <w:p w14:paraId="7677C974" w14:textId="3807B478" w:rsidR="003A3BE7" w:rsidRPr="001B7089" w:rsidRDefault="003A3BE7" w:rsidP="003A3BE7">
      <w:pPr>
        <w:rPr>
          <w:rFonts w:ascii="Roboto" w:hAnsi="Roboto" w:cs="Calibri"/>
        </w:rPr>
      </w:pPr>
      <w:r w:rsidRPr="001B7089">
        <w:rPr>
          <w:rFonts w:ascii="Roboto" w:hAnsi="Roboto" w:cs="Calibri"/>
          <w:b/>
        </w:rPr>
        <w:t>Online</w:t>
      </w:r>
      <w:r w:rsidRPr="001B7089">
        <w:rPr>
          <w:rFonts w:ascii="Roboto" w:hAnsi="Roboto" w:cs="Calibri"/>
        </w:rPr>
        <w:t>:</w:t>
      </w:r>
      <w:r w:rsidRPr="001B7089">
        <w:rPr>
          <w:rFonts w:ascii="Roboto" w:hAnsi="Roboto" w:cs="Calibri"/>
        </w:rPr>
        <w:tab/>
      </w:r>
      <w:r w:rsidR="00B52268">
        <w:rPr>
          <w:rFonts w:ascii="Roboto" w:hAnsi="Roboto" w:cs="Calibri"/>
          <w:b/>
        </w:rPr>
        <w:t>servicesaustralia</w:t>
      </w:r>
      <w:r w:rsidRPr="001B7089">
        <w:rPr>
          <w:rFonts w:ascii="Roboto" w:hAnsi="Roboto" w:cs="Calibri"/>
          <w:b/>
        </w:rPr>
        <w:t>.gov.au/pip</w:t>
      </w:r>
    </w:p>
    <w:p w14:paraId="6C78702F" w14:textId="1AA32FD8" w:rsidR="003A3BE7" w:rsidRPr="001B7089" w:rsidRDefault="003A3BE7" w:rsidP="003A3BE7">
      <w:pPr>
        <w:rPr>
          <w:rFonts w:ascii="Roboto" w:hAnsi="Roboto" w:cs="Calibri"/>
        </w:rPr>
      </w:pPr>
      <w:r w:rsidRPr="001B7089">
        <w:rPr>
          <w:rFonts w:ascii="Roboto" w:hAnsi="Roboto" w:cs="Calibri"/>
          <w:b/>
        </w:rPr>
        <w:t>Email</w:t>
      </w:r>
      <w:r w:rsidRPr="001B7089">
        <w:rPr>
          <w:rFonts w:ascii="Roboto" w:hAnsi="Roboto" w:cs="Calibri"/>
        </w:rPr>
        <w:t>:</w:t>
      </w:r>
      <w:r w:rsidRPr="001B7089">
        <w:rPr>
          <w:rFonts w:ascii="Roboto" w:hAnsi="Roboto" w:cs="Calibri"/>
        </w:rPr>
        <w:tab/>
        <w:t>pip@</w:t>
      </w:r>
      <w:proofErr w:type="gramStart"/>
      <w:r w:rsidR="00072A51">
        <w:rPr>
          <w:rFonts w:ascii="Roboto" w:hAnsi="Roboto" w:cs="Calibri"/>
        </w:rPr>
        <w:t>servicesaustralia.</w:t>
      </w:r>
      <w:r w:rsidRPr="001B7089">
        <w:rPr>
          <w:rFonts w:ascii="Roboto" w:hAnsi="Roboto" w:cs="Calibri"/>
        </w:rPr>
        <w:t>.</w:t>
      </w:r>
      <w:proofErr w:type="gramEnd"/>
      <w:r w:rsidRPr="001B7089">
        <w:rPr>
          <w:rFonts w:ascii="Roboto" w:hAnsi="Roboto" w:cs="Calibri"/>
        </w:rPr>
        <w:t>gov.au</w:t>
      </w:r>
    </w:p>
    <w:p w14:paraId="63749D74" w14:textId="77777777" w:rsidR="003A3BE7" w:rsidRPr="001B7089" w:rsidRDefault="003A3BE7" w:rsidP="003A3BE7">
      <w:pPr>
        <w:rPr>
          <w:rFonts w:ascii="Roboto" w:hAnsi="Roboto" w:cs="Calibri"/>
        </w:rPr>
      </w:pPr>
      <w:r w:rsidRPr="001B7089">
        <w:rPr>
          <w:rFonts w:ascii="Roboto" w:hAnsi="Roboto" w:cs="Calibri"/>
          <w:b/>
        </w:rPr>
        <w:t>Call</w:t>
      </w:r>
      <w:r w:rsidRPr="001B7089">
        <w:rPr>
          <w:rFonts w:ascii="Roboto" w:hAnsi="Roboto" w:cs="Calibri"/>
        </w:rPr>
        <w:t>:</w:t>
      </w:r>
      <w:r w:rsidRPr="001B7089">
        <w:rPr>
          <w:rFonts w:ascii="Roboto" w:hAnsi="Roboto" w:cs="Calibri"/>
        </w:rPr>
        <w:tab/>
      </w:r>
      <w:r w:rsidRPr="001B7089">
        <w:rPr>
          <w:rFonts w:ascii="Roboto" w:hAnsi="Roboto" w:cs="Calibri"/>
          <w:b/>
        </w:rPr>
        <w:t xml:space="preserve">1800 222 032 </w:t>
      </w:r>
      <w:r w:rsidRPr="001B7089">
        <w:rPr>
          <w:rFonts w:ascii="Roboto" w:hAnsi="Roboto" w:cs="Calibri"/>
        </w:rPr>
        <w:t>(call charges may apply).</w:t>
      </w:r>
    </w:p>
    <w:p w14:paraId="0BC95804" w14:textId="77777777" w:rsidR="00540CF0" w:rsidRDefault="00540CF0" w:rsidP="00540CF0">
      <w:pPr>
        <w:pStyle w:val="Heading2"/>
        <w:rPr>
          <w:rFonts w:ascii="Roboto" w:hAnsi="Roboto" w:cs="Segoe UI"/>
          <w:lang w:val="en"/>
        </w:rPr>
      </w:pPr>
      <w:r>
        <w:rPr>
          <w:rFonts w:ascii="Roboto" w:hAnsi="Roboto" w:cs="Segoe UI"/>
          <w:lang w:val="en"/>
        </w:rPr>
        <w:t>Disclaimer</w:t>
      </w:r>
    </w:p>
    <w:p w14:paraId="46424202" w14:textId="77777777" w:rsidR="00540CF0" w:rsidRDefault="00540CF0" w:rsidP="5D6A73B6">
      <w:pPr>
        <w:pStyle w:val="NormalWeb"/>
        <w:rPr>
          <w:rFonts w:ascii="Roboto" w:hAnsi="Roboto" w:cs="Segoe UI"/>
          <w:lang w:val="en-US"/>
        </w:rPr>
      </w:pPr>
      <w:r w:rsidRPr="5D6A73B6">
        <w:rPr>
          <w:rFonts w:ascii="Roboto" w:hAnsi="Roboto" w:cs="Segoe UI"/>
          <w:lang w:val="en-US"/>
        </w:rPr>
        <w:t xml:space="preserve">These guidelines are for information purposes and provide the basis upon which PIP payments are made. While it is intended that the government will make payments as set out in these guidelines, the making of payments is at its sole discretion. The government may alter arrangements for the PIP at any time and without notice. The government does not accept any legal liability or responsibility for any injury, loss or damage incurred </w:t>
      </w:r>
      <w:proofErr w:type="gramStart"/>
      <w:r w:rsidRPr="5D6A73B6">
        <w:rPr>
          <w:rFonts w:ascii="Roboto" w:hAnsi="Roboto" w:cs="Segoe UI"/>
          <w:lang w:val="en-US"/>
        </w:rPr>
        <w:t>by the use of</w:t>
      </w:r>
      <w:proofErr w:type="gramEnd"/>
      <w:r w:rsidRPr="5D6A73B6">
        <w:rPr>
          <w:rFonts w:ascii="Roboto" w:hAnsi="Roboto" w:cs="Segoe UI"/>
          <w:lang w:val="en-US"/>
        </w:rPr>
        <w:t>, reliance on, or interpretation of the information provided in these guidelines.</w:t>
      </w:r>
    </w:p>
    <w:p w14:paraId="76EB152C" w14:textId="77777777" w:rsidR="00436EE0" w:rsidRDefault="00436EE0"/>
    <w:sectPr w:rsidR="00436EE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DCF06" w14:textId="77777777" w:rsidR="009243D0" w:rsidRDefault="009243D0" w:rsidP="00C2561D">
      <w:pPr>
        <w:spacing w:after="0" w:line="240" w:lineRule="auto"/>
      </w:pPr>
      <w:r>
        <w:separator/>
      </w:r>
    </w:p>
  </w:endnote>
  <w:endnote w:type="continuationSeparator" w:id="0">
    <w:p w14:paraId="071085AB" w14:textId="77777777" w:rsidR="009243D0" w:rsidRDefault="009243D0" w:rsidP="00C25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167D9" w14:textId="77777777" w:rsidR="00C2561D" w:rsidRDefault="00C2561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1559D836" w14:textId="77777777" w:rsidR="00C2561D" w:rsidRDefault="00C25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9918B" w14:textId="77777777" w:rsidR="009243D0" w:rsidRDefault="009243D0" w:rsidP="00C2561D">
      <w:pPr>
        <w:spacing w:after="0" w:line="240" w:lineRule="auto"/>
      </w:pPr>
      <w:r>
        <w:separator/>
      </w:r>
    </w:p>
  </w:footnote>
  <w:footnote w:type="continuationSeparator" w:id="0">
    <w:p w14:paraId="25721D10" w14:textId="77777777" w:rsidR="009243D0" w:rsidRDefault="009243D0" w:rsidP="00C25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00C18"/>
    <w:multiLevelType w:val="hybridMultilevel"/>
    <w:tmpl w:val="60EA8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D03F4B"/>
    <w:multiLevelType w:val="hybridMultilevel"/>
    <w:tmpl w:val="A4000B9E"/>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 w15:restartNumberingAfterBreak="0">
    <w:nsid w:val="1B3E5FAD"/>
    <w:multiLevelType w:val="multilevel"/>
    <w:tmpl w:val="5566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4D7ACB"/>
    <w:multiLevelType w:val="multilevel"/>
    <w:tmpl w:val="4178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E2A83"/>
    <w:multiLevelType w:val="multilevel"/>
    <w:tmpl w:val="3C2E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93622E"/>
    <w:multiLevelType w:val="multilevel"/>
    <w:tmpl w:val="82FC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B7214"/>
    <w:multiLevelType w:val="multilevel"/>
    <w:tmpl w:val="731C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B220B7"/>
    <w:multiLevelType w:val="multilevel"/>
    <w:tmpl w:val="A09A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690F55"/>
    <w:multiLevelType w:val="hybridMultilevel"/>
    <w:tmpl w:val="AAA28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CC022B"/>
    <w:multiLevelType w:val="hybridMultilevel"/>
    <w:tmpl w:val="FE2A1B9C"/>
    <w:lvl w:ilvl="0" w:tplc="87EA88B2">
      <w:start w:val="1"/>
      <w:numFmt w:val="bullet"/>
      <w:lvlText w:val=""/>
      <w:lvlJc w:val="left"/>
      <w:pPr>
        <w:ind w:left="1080" w:hanging="360"/>
      </w:pPr>
      <w:rPr>
        <w:rFonts w:ascii="Symbol" w:hAnsi="Symbol"/>
      </w:rPr>
    </w:lvl>
    <w:lvl w:ilvl="1" w:tplc="AD5E713A">
      <w:start w:val="1"/>
      <w:numFmt w:val="bullet"/>
      <w:lvlText w:val=""/>
      <w:lvlJc w:val="left"/>
      <w:pPr>
        <w:ind w:left="1080" w:hanging="360"/>
      </w:pPr>
      <w:rPr>
        <w:rFonts w:ascii="Symbol" w:hAnsi="Symbol"/>
      </w:rPr>
    </w:lvl>
    <w:lvl w:ilvl="2" w:tplc="5D06248C">
      <w:start w:val="1"/>
      <w:numFmt w:val="bullet"/>
      <w:lvlText w:val=""/>
      <w:lvlJc w:val="left"/>
      <w:pPr>
        <w:ind w:left="1080" w:hanging="360"/>
      </w:pPr>
      <w:rPr>
        <w:rFonts w:ascii="Symbol" w:hAnsi="Symbol"/>
      </w:rPr>
    </w:lvl>
    <w:lvl w:ilvl="3" w:tplc="737CE516">
      <w:start w:val="1"/>
      <w:numFmt w:val="bullet"/>
      <w:lvlText w:val=""/>
      <w:lvlJc w:val="left"/>
      <w:pPr>
        <w:ind w:left="1080" w:hanging="360"/>
      </w:pPr>
      <w:rPr>
        <w:rFonts w:ascii="Symbol" w:hAnsi="Symbol"/>
      </w:rPr>
    </w:lvl>
    <w:lvl w:ilvl="4" w:tplc="0EC4E58E">
      <w:start w:val="1"/>
      <w:numFmt w:val="bullet"/>
      <w:lvlText w:val=""/>
      <w:lvlJc w:val="left"/>
      <w:pPr>
        <w:ind w:left="1080" w:hanging="360"/>
      </w:pPr>
      <w:rPr>
        <w:rFonts w:ascii="Symbol" w:hAnsi="Symbol"/>
      </w:rPr>
    </w:lvl>
    <w:lvl w:ilvl="5" w:tplc="F960A09E">
      <w:start w:val="1"/>
      <w:numFmt w:val="bullet"/>
      <w:lvlText w:val=""/>
      <w:lvlJc w:val="left"/>
      <w:pPr>
        <w:ind w:left="1080" w:hanging="360"/>
      </w:pPr>
      <w:rPr>
        <w:rFonts w:ascii="Symbol" w:hAnsi="Symbol"/>
      </w:rPr>
    </w:lvl>
    <w:lvl w:ilvl="6" w:tplc="70C6C97C">
      <w:start w:val="1"/>
      <w:numFmt w:val="bullet"/>
      <w:lvlText w:val=""/>
      <w:lvlJc w:val="left"/>
      <w:pPr>
        <w:ind w:left="1080" w:hanging="360"/>
      </w:pPr>
      <w:rPr>
        <w:rFonts w:ascii="Symbol" w:hAnsi="Symbol"/>
      </w:rPr>
    </w:lvl>
    <w:lvl w:ilvl="7" w:tplc="12CECEC6">
      <w:start w:val="1"/>
      <w:numFmt w:val="bullet"/>
      <w:lvlText w:val=""/>
      <w:lvlJc w:val="left"/>
      <w:pPr>
        <w:ind w:left="1080" w:hanging="360"/>
      </w:pPr>
      <w:rPr>
        <w:rFonts w:ascii="Symbol" w:hAnsi="Symbol"/>
      </w:rPr>
    </w:lvl>
    <w:lvl w:ilvl="8" w:tplc="0C021E74">
      <w:start w:val="1"/>
      <w:numFmt w:val="bullet"/>
      <w:lvlText w:val=""/>
      <w:lvlJc w:val="left"/>
      <w:pPr>
        <w:ind w:left="1080" w:hanging="360"/>
      </w:pPr>
      <w:rPr>
        <w:rFonts w:ascii="Symbol" w:hAnsi="Symbol"/>
      </w:rPr>
    </w:lvl>
  </w:abstractNum>
  <w:abstractNum w:abstractNumId="10" w15:restartNumberingAfterBreak="0">
    <w:nsid w:val="6E37122E"/>
    <w:multiLevelType w:val="multilevel"/>
    <w:tmpl w:val="4B0C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0023FD"/>
    <w:multiLevelType w:val="multilevel"/>
    <w:tmpl w:val="BA68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B47254"/>
    <w:multiLevelType w:val="hybridMultilevel"/>
    <w:tmpl w:val="A1FA84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134A4D"/>
    <w:multiLevelType w:val="multilevel"/>
    <w:tmpl w:val="82C2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721502">
    <w:abstractNumId w:val="10"/>
  </w:num>
  <w:num w:numId="2" w16cid:durableId="176509422">
    <w:abstractNumId w:val="7"/>
  </w:num>
  <w:num w:numId="3" w16cid:durableId="1338726225">
    <w:abstractNumId w:val="11"/>
  </w:num>
  <w:num w:numId="4" w16cid:durableId="221714755">
    <w:abstractNumId w:val="4"/>
  </w:num>
  <w:num w:numId="5" w16cid:durableId="1207795037">
    <w:abstractNumId w:val="3"/>
  </w:num>
  <w:num w:numId="6" w16cid:durableId="442960692">
    <w:abstractNumId w:val="2"/>
  </w:num>
  <w:num w:numId="7" w16cid:durableId="2062289619">
    <w:abstractNumId w:val="13"/>
  </w:num>
  <w:num w:numId="8" w16cid:durableId="1976718936">
    <w:abstractNumId w:val="6"/>
  </w:num>
  <w:num w:numId="9" w16cid:durableId="1044872298">
    <w:abstractNumId w:val="5"/>
  </w:num>
  <w:num w:numId="10" w16cid:durableId="1056472572">
    <w:abstractNumId w:val="12"/>
  </w:num>
  <w:num w:numId="11" w16cid:durableId="1871607865">
    <w:abstractNumId w:val="0"/>
  </w:num>
  <w:num w:numId="12" w16cid:durableId="37976783">
    <w:abstractNumId w:val="1"/>
  </w:num>
  <w:num w:numId="13" w16cid:durableId="798762341">
    <w:abstractNumId w:val="9"/>
  </w:num>
  <w:num w:numId="14" w16cid:durableId="13463247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F0"/>
    <w:rsid w:val="00014705"/>
    <w:rsid w:val="00035C40"/>
    <w:rsid w:val="00046949"/>
    <w:rsid w:val="0005027B"/>
    <w:rsid w:val="00072A51"/>
    <w:rsid w:val="000864B8"/>
    <w:rsid w:val="000A1862"/>
    <w:rsid w:val="000E3203"/>
    <w:rsid w:val="00102610"/>
    <w:rsid w:val="0011776D"/>
    <w:rsid w:val="00173308"/>
    <w:rsid w:val="00180258"/>
    <w:rsid w:val="00180AE2"/>
    <w:rsid w:val="00190764"/>
    <w:rsid w:val="001A6753"/>
    <w:rsid w:val="001B7089"/>
    <w:rsid w:val="001E3A8E"/>
    <w:rsid w:val="00205081"/>
    <w:rsid w:val="00234178"/>
    <w:rsid w:val="00274B9B"/>
    <w:rsid w:val="002A6B68"/>
    <w:rsid w:val="002C5EC8"/>
    <w:rsid w:val="002E547D"/>
    <w:rsid w:val="003040A7"/>
    <w:rsid w:val="00340F49"/>
    <w:rsid w:val="0034641E"/>
    <w:rsid w:val="00352E83"/>
    <w:rsid w:val="003710AC"/>
    <w:rsid w:val="00374C43"/>
    <w:rsid w:val="0039613D"/>
    <w:rsid w:val="003A3BE7"/>
    <w:rsid w:val="003C054D"/>
    <w:rsid w:val="003D4435"/>
    <w:rsid w:val="003E2707"/>
    <w:rsid w:val="003E3F9A"/>
    <w:rsid w:val="003E718E"/>
    <w:rsid w:val="003F7800"/>
    <w:rsid w:val="00436EE0"/>
    <w:rsid w:val="00446803"/>
    <w:rsid w:val="00455D6C"/>
    <w:rsid w:val="004659A1"/>
    <w:rsid w:val="00484F7A"/>
    <w:rsid w:val="00493418"/>
    <w:rsid w:val="00495DD0"/>
    <w:rsid w:val="004C0D04"/>
    <w:rsid w:val="004D1754"/>
    <w:rsid w:val="004D7F6B"/>
    <w:rsid w:val="004E7BCF"/>
    <w:rsid w:val="004F21A1"/>
    <w:rsid w:val="00500947"/>
    <w:rsid w:val="00510A16"/>
    <w:rsid w:val="0051287F"/>
    <w:rsid w:val="00540CF0"/>
    <w:rsid w:val="0054220F"/>
    <w:rsid w:val="005511BB"/>
    <w:rsid w:val="00585C20"/>
    <w:rsid w:val="005A4384"/>
    <w:rsid w:val="005F5AC3"/>
    <w:rsid w:val="0060559F"/>
    <w:rsid w:val="00682476"/>
    <w:rsid w:val="006C79CF"/>
    <w:rsid w:val="00717C6F"/>
    <w:rsid w:val="00735E39"/>
    <w:rsid w:val="0076376D"/>
    <w:rsid w:val="00763822"/>
    <w:rsid w:val="007A4CEC"/>
    <w:rsid w:val="007B0D22"/>
    <w:rsid w:val="007E2B1A"/>
    <w:rsid w:val="00811F56"/>
    <w:rsid w:val="00856060"/>
    <w:rsid w:val="00861498"/>
    <w:rsid w:val="00862365"/>
    <w:rsid w:val="00863629"/>
    <w:rsid w:val="00870B2B"/>
    <w:rsid w:val="00874B92"/>
    <w:rsid w:val="00893449"/>
    <w:rsid w:val="008D5378"/>
    <w:rsid w:val="008D5ED7"/>
    <w:rsid w:val="008E7B89"/>
    <w:rsid w:val="00906D00"/>
    <w:rsid w:val="00912E0A"/>
    <w:rsid w:val="00921936"/>
    <w:rsid w:val="009243D0"/>
    <w:rsid w:val="00926213"/>
    <w:rsid w:val="00937009"/>
    <w:rsid w:val="00941ABA"/>
    <w:rsid w:val="0094387B"/>
    <w:rsid w:val="00947348"/>
    <w:rsid w:val="00976382"/>
    <w:rsid w:val="00984480"/>
    <w:rsid w:val="009D4E74"/>
    <w:rsid w:val="00A174CA"/>
    <w:rsid w:val="00A20581"/>
    <w:rsid w:val="00A50885"/>
    <w:rsid w:val="00A53128"/>
    <w:rsid w:val="00A95E1D"/>
    <w:rsid w:val="00AE1DBE"/>
    <w:rsid w:val="00B32165"/>
    <w:rsid w:val="00B359E6"/>
    <w:rsid w:val="00B36EB6"/>
    <w:rsid w:val="00B43FC4"/>
    <w:rsid w:val="00B50375"/>
    <w:rsid w:val="00B52268"/>
    <w:rsid w:val="00B57B0E"/>
    <w:rsid w:val="00B64232"/>
    <w:rsid w:val="00B75563"/>
    <w:rsid w:val="00B82BD1"/>
    <w:rsid w:val="00BB7D0F"/>
    <w:rsid w:val="00BC0A00"/>
    <w:rsid w:val="00BC420C"/>
    <w:rsid w:val="00C0212C"/>
    <w:rsid w:val="00C10316"/>
    <w:rsid w:val="00C17338"/>
    <w:rsid w:val="00C21121"/>
    <w:rsid w:val="00C2561D"/>
    <w:rsid w:val="00C74CE7"/>
    <w:rsid w:val="00CB068C"/>
    <w:rsid w:val="00D21AE8"/>
    <w:rsid w:val="00D41703"/>
    <w:rsid w:val="00D705F1"/>
    <w:rsid w:val="00D9410D"/>
    <w:rsid w:val="00DC38A8"/>
    <w:rsid w:val="00E20FEB"/>
    <w:rsid w:val="00E84850"/>
    <w:rsid w:val="00E9461F"/>
    <w:rsid w:val="00EF357F"/>
    <w:rsid w:val="00EF35CA"/>
    <w:rsid w:val="00F344D7"/>
    <w:rsid w:val="00F463B6"/>
    <w:rsid w:val="00F6180F"/>
    <w:rsid w:val="00F80647"/>
    <w:rsid w:val="00F8357A"/>
    <w:rsid w:val="00F97412"/>
    <w:rsid w:val="00F974D6"/>
    <w:rsid w:val="00FD21C9"/>
    <w:rsid w:val="0203ACC9"/>
    <w:rsid w:val="02BC1C4E"/>
    <w:rsid w:val="097C2047"/>
    <w:rsid w:val="0F92D5B1"/>
    <w:rsid w:val="1317314E"/>
    <w:rsid w:val="217909A1"/>
    <w:rsid w:val="21A464AA"/>
    <w:rsid w:val="23D84BF1"/>
    <w:rsid w:val="23EC8C55"/>
    <w:rsid w:val="24155BF6"/>
    <w:rsid w:val="2C352C3D"/>
    <w:rsid w:val="2E5669AD"/>
    <w:rsid w:val="2F320E6C"/>
    <w:rsid w:val="30C40E9F"/>
    <w:rsid w:val="315BAE73"/>
    <w:rsid w:val="36CB2179"/>
    <w:rsid w:val="37F52D25"/>
    <w:rsid w:val="384A354B"/>
    <w:rsid w:val="38DE3918"/>
    <w:rsid w:val="3C7E270A"/>
    <w:rsid w:val="41714B7E"/>
    <w:rsid w:val="428C0138"/>
    <w:rsid w:val="433DF513"/>
    <w:rsid w:val="440A9866"/>
    <w:rsid w:val="450AB328"/>
    <w:rsid w:val="453D26EE"/>
    <w:rsid w:val="45EE1E42"/>
    <w:rsid w:val="477B6930"/>
    <w:rsid w:val="4CF55BF0"/>
    <w:rsid w:val="543D5070"/>
    <w:rsid w:val="58300C2C"/>
    <w:rsid w:val="5A357132"/>
    <w:rsid w:val="5D6A73B6"/>
    <w:rsid w:val="5D8DBE50"/>
    <w:rsid w:val="5E5A8A44"/>
    <w:rsid w:val="607F790F"/>
    <w:rsid w:val="60D885CA"/>
    <w:rsid w:val="65FA39B4"/>
    <w:rsid w:val="66475E2D"/>
    <w:rsid w:val="66ED057E"/>
    <w:rsid w:val="675712AE"/>
    <w:rsid w:val="684FB3D9"/>
    <w:rsid w:val="6955D909"/>
    <w:rsid w:val="6BA6FEFC"/>
    <w:rsid w:val="6C9633CC"/>
    <w:rsid w:val="725AE68F"/>
    <w:rsid w:val="7396D5EA"/>
    <w:rsid w:val="74FA3798"/>
    <w:rsid w:val="761A3990"/>
    <w:rsid w:val="767EFFC8"/>
    <w:rsid w:val="76F3E27A"/>
    <w:rsid w:val="781827EC"/>
    <w:rsid w:val="78270D2A"/>
    <w:rsid w:val="79E9E10F"/>
    <w:rsid w:val="7CA52750"/>
    <w:rsid w:val="7D16FD67"/>
    <w:rsid w:val="7F998E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95D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AU" w:eastAsia="en-US"/>
    </w:rPr>
  </w:style>
  <w:style w:type="paragraph" w:styleId="Heading1">
    <w:name w:val="heading 1"/>
    <w:basedOn w:val="Normal"/>
    <w:link w:val="Heading1Char"/>
    <w:uiPriority w:val="9"/>
    <w:qFormat/>
    <w:rsid w:val="00540CF0"/>
    <w:pPr>
      <w:spacing w:before="161" w:after="161" w:line="240" w:lineRule="auto"/>
      <w:outlineLvl w:val="0"/>
    </w:pPr>
    <w:rPr>
      <w:rFonts w:ascii="Times New Roman" w:eastAsia="Times New Roman" w:hAnsi="Times New Roman"/>
      <w:b/>
      <w:bCs/>
      <w:kern w:val="36"/>
      <w:sz w:val="48"/>
      <w:szCs w:val="48"/>
      <w:lang w:eastAsia="en-AU"/>
    </w:rPr>
  </w:style>
  <w:style w:type="paragraph" w:styleId="Heading2">
    <w:name w:val="heading 2"/>
    <w:basedOn w:val="Normal"/>
    <w:next w:val="Normal"/>
    <w:link w:val="Heading2Char"/>
    <w:uiPriority w:val="9"/>
    <w:semiHidden/>
    <w:unhideWhenUsed/>
    <w:qFormat/>
    <w:rsid w:val="00540CF0"/>
    <w:pPr>
      <w:keepNext/>
      <w:spacing w:before="240" w:after="60"/>
      <w:outlineLvl w:val="1"/>
    </w:pPr>
    <w:rPr>
      <w:rFonts w:ascii="Calibri Light" w:eastAsia="Times New Roman" w:hAnsi="Calibri Light"/>
      <w:b/>
      <w:bCs/>
      <w:i/>
      <w:iCs/>
      <w:sz w:val="28"/>
      <w:szCs w:val="28"/>
    </w:rPr>
  </w:style>
  <w:style w:type="paragraph" w:styleId="Heading6">
    <w:name w:val="heading 6"/>
    <w:basedOn w:val="Normal"/>
    <w:next w:val="Normal"/>
    <w:link w:val="Heading6Char"/>
    <w:uiPriority w:val="9"/>
    <w:semiHidden/>
    <w:unhideWhenUsed/>
    <w:qFormat/>
    <w:rsid w:val="00540CF0"/>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40CF0"/>
    <w:rPr>
      <w:rFonts w:ascii="Times New Roman" w:eastAsia="Times New Roman" w:hAnsi="Times New Roman"/>
      <w:b/>
      <w:bCs/>
      <w:kern w:val="36"/>
      <w:sz w:val="48"/>
      <w:szCs w:val="48"/>
    </w:rPr>
  </w:style>
  <w:style w:type="paragraph" w:styleId="NormalWeb">
    <w:name w:val="Normal (Web)"/>
    <w:basedOn w:val="Normal"/>
    <w:uiPriority w:val="99"/>
    <w:unhideWhenUsed/>
    <w:rsid w:val="00540CF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Heading2Char">
    <w:name w:val="Heading 2 Char"/>
    <w:link w:val="Heading2"/>
    <w:uiPriority w:val="9"/>
    <w:semiHidden/>
    <w:rsid w:val="00540CF0"/>
    <w:rPr>
      <w:rFonts w:ascii="Calibri Light" w:eastAsia="Times New Roman" w:hAnsi="Calibri Light" w:cs="Times New Roman"/>
      <w:b/>
      <w:bCs/>
      <w:i/>
      <w:iCs/>
      <w:sz w:val="28"/>
      <w:szCs w:val="28"/>
      <w:lang w:eastAsia="en-US"/>
    </w:rPr>
  </w:style>
  <w:style w:type="character" w:customStyle="1" w:styleId="Heading6Char">
    <w:name w:val="Heading 6 Char"/>
    <w:link w:val="Heading6"/>
    <w:uiPriority w:val="9"/>
    <w:semiHidden/>
    <w:rsid w:val="00540CF0"/>
    <w:rPr>
      <w:rFonts w:ascii="Calibri" w:eastAsia="Times New Roman" w:hAnsi="Calibri" w:cs="Times New Roman"/>
      <w:b/>
      <w:bCs/>
      <w:sz w:val="22"/>
      <w:szCs w:val="22"/>
      <w:lang w:eastAsia="en-US"/>
    </w:rPr>
  </w:style>
  <w:style w:type="character" w:styleId="Hyperlink">
    <w:name w:val="Hyperlink"/>
    <w:uiPriority w:val="99"/>
    <w:unhideWhenUsed/>
    <w:rsid w:val="00540CF0"/>
    <w:rPr>
      <w:color w:val="0000FF"/>
      <w:u w:val="single"/>
      <w:shd w:val="clear" w:color="auto" w:fill="auto"/>
    </w:rPr>
  </w:style>
  <w:style w:type="paragraph" w:styleId="BalloonText">
    <w:name w:val="Balloon Text"/>
    <w:basedOn w:val="Normal"/>
    <w:link w:val="BalloonTextChar"/>
    <w:uiPriority w:val="99"/>
    <w:semiHidden/>
    <w:unhideWhenUsed/>
    <w:rsid w:val="001B708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B7089"/>
    <w:rPr>
      <w:rFonts w:ascii="Segoe UI" w:hAnsi="Segoe UI" w:cs="Segoe UI"/>
      <w:sz w:val="18"/>
      <w:szCs w:val="18"/>
      <w:lang w:eastAsia="en-US"/>
    </w:rPr>
  </w:style>
  <w:style w:type="paragraph" w:styleId="Revision">
    <w:name w:val="Revision"/>
    <w:hidden/>
    <w:uiPriority w:val="99"/>
    <w:semiHidden/>
    <w:rsid w:val="002A6B68"/>
    <w:rPr>
      <w:sz w:val="22"/>
      <w:szCs w:val="22"/>
      <w:lang w:val="en-AU" w:eastAsia="en-US"/>
    </w:rPr>
  </w:style>
  <w:style w:type="character" w:styleId="CommentReference">
    <w:name w:val="annotation reference"/>
    <w:uiPriority w:val="99"/>
    <w:semiHidden/>
    <w:unhideWhenUsed/>
    <w:rsid w:val="002A6B68"/>
    <w:rPr>
      <w:sz w:val="16"/>
      <w:szCs w:val="16"/>
    </w:rPr>
  </w:style>
  <w:style w:type="paragraph" w:styleId="CommentText">
    <w:name w:val="annotation text"/>
    <w:basedOn w:val="Normal"/>
    <w:link w:val="CommentTextChar"/>
    <w:uiPriority w:val="99"/>
    <w:unhideWhenUsed/>
    <w:rsid w:val="002A6B68"/>
    <w:rPr>
      <w:sz w:val="20"/>
      <w:szCs w:val="20"/>
    </w:rPr>
  </w:style>
  <w:style w:type="character" w:customStyle="1" w:styleId="CommentTextChar">
    <w:name w:val="Comment Text Char"/>
    <w:link w:val="CommentText"/>
    <w:uiPriority w:val="99"/>
    <w:rsid w:val="002A6B68"/>
    <w:rPr>
      <w:lang w:eastAsia="en-US"/>
    </w:rPr>
  </w:style>
  <w:style w:type="paragraph" w:styleId="CommentSubject">
    <w:name w:val="annotation subject"/>
    <w:basedOn w:val="CommentText"/>
    <w:next w:val="CommentText"/>
    <w:link w:val="CommentSubjectChar"/>
    <w:uiPriority w:val="99"/>
    <w:semiHidden/>
    <w:unhideWhenUsed/>
    <w:rsid w:val="002A6B68"/>
    <w:rPr>
      <w:b/>
      <w:bCs/>
    </w:rPr>
  </w:style>
  <w:style w:type="character" w:customStyle="1" w:styleId="CommentSubjectChar">
    <w:name w:val="Comment Subject Char"/>
    <w:link w:val="CommentSubject"/>
    <w:uiPriority w:val="99"/>
    <w:semiHidden/>
    <w:rsid w:val="002A6B68"/>
    <w:rPr>
      <w:b/>
      <w:bCs/>
      <w:lang w:eastAsia="en-US"/>
    </w:rPr>
  </w:style>
  <w:style w:type="character" w:styleId="FollowedHyperlink">
    <w:name w:val="FollowedHyperlink"/>
    <w:uiPriority w:val="99"/>
    <w:semiHidden/>
    <w:unhideWhenUsed/>
    <w:rsid w:val="00912E0A"/>
    <w:rPr>
      <w:color w:val="954F72"/>
      <w:u w:val="single"/>
    </w:rPr>
  </w:style>
  <w:style w:type="character" w:styleId="UnresolvedMention">
    <w:name w:val="Unresolved Mention"/>
    <w:uiPriority w:val="99"/>
    <w:semiHidden/>
    <w:unhideWhenUsed/>
    <w:rsid w:val="00D705F1"/>
    <w:rPr>
      <w:color w:val="605E5C"/>
      <w:shd w:val="clear" w:color="auto" w:fill="E1DFDD"/>
    </w:rPr>
  </w:style>
  <w:style w:type="paragraph" w:styleId="Header">
    <w:name w:val="header"/>
    <w:basedOn w:val="Normal"/>
    <w:link w:val="HeaderChar"/>
    <w:uiPriority w:val="99"/>
    <w:unhideWhenUsed/>
    <w:rsid w:val="00C2561D"/>
    <w:pPr>
      <w:tabs>
        <w:tab w:val="center" w:pos="4513"/>
        <w:tab w:val="right" w:pos="9026"/>
      </w:tabs>
    </w:pPr>
  </w:style>
  <w:style w:type="character" w:customStyle="1" w:styleId="HeaderChar">
    <w:name w:val="Header Char"/>
    <w:link w:val="Header"/>
    <w:uiPriority w:val="99"/>
    <w:rsid w:val="00C2561D"/>
    <w:rPr>
      <w:sz w:val="22"/>
      <w:szCs w:val="22"/>
      <w:lang w:eastAsia="en-US"/>
    </w:rPr>
  </w:style>
  <w:style w:type="paragraph" w:styleId="Footer">
    <w:name w:val="footer"/>
    <w:basedOn w:val="Normal"/>
    <w:link w:val="FooterChar"/>
    <w:uiPriority w:val="99"/>
    <w:unhideWhenUsed/>
    <w:rsid w:val="00C2561D"/>
    <w:pPr>
      <w:tabs>
        <w:tab w:val="center" w:pos="4513"/>
        <w:tab w:val="right" w:pos="9026"/>
      </w:tabs>
    </w:pPr>
  </w:style>
  <w:style w:type="character" w:customStyle="1" w:styleId="FooterChar">
    <w:name w:val="Footer Char"/>
    <w:link w:val="Footer"/>
    <w:uiPriority w:val="99"/>
    <w:rsid w:val="00C2561D"/>
    <w:rPr>
      <w:sz w:val="22"/>
      <w:szCs w:val="22"/>
      <w:lang w:eastAsia="en-US"/>
    </w:rPr>
  </w:style>
  <w:style w:type="character" w:customStyle="1" w:styleId="cf01">
    <w:name w:val="cf01"/>
    <w:rsid w:val="001E3A8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616720">
      <w:bodyDiv w:val="1"/>
      <w:marLeft w:val="0"/>
      <w:marRight w:val="0"/>
      <w:marTop w:val="0"/>
      <w:marBottom w:val="0"/>
      <w:divBdr>
        <w:top w:val="none" w:sz="0" w:space="0" w:color="auto"/>
        <w:left w:val="none" w:sz="0" w:space="0" w:color="auto"/>
        <w:bottom w:val="none" w:sz="0" w:space="0" w:color="auto"/>
        <w:right w:val="none" w:sz="0" w:space="0" w:color="auto"/>
      </w:divBdr>
      <w:divsChild>
        <w:div w:id="1488549206">
          <w:marLeft w:val="0"/>
          <w:marRight w:val="0"/>
          <w:marTop w:val="0"/>
          <w:marBottom w:val="0"/>
          <w:divBdr>
            <w:top w:val="none" w:sz="0" w:space="0" w:color="auto"/>
            <w:left w:val="none" w:sz="0" w:space="0" w:color="auto"/>
            <w:bottom w:val="none" w:sz="0" w:space="0" w:color="auto"/>
            <w:right w:val="none" w:sz="0" w:space="0" w:color="auto"/>
          </w:divBdr>
          <w:divsChild>
            <w:div w:id="1244876521">
              <w:marLeft w:val="0"/>
              <w:marRight w:val="0"/>
              <w:marTop w:val="0"/>
              <w:marBottom w:val="0"/>
              <w:divBdr>
                <w:top w:val="none" w:sz="0" w:space="0" w:color="auto"/>
                <w:left w:val="none" w:sz="0" w:space="0" w:color="auto"/>
                <w:bottom w:val="none" w:sz="0" w:space="0" w:color="auto"/>
                <w:right w:val="none" w:sz="0" w:space="0" w:color="auto"/>
              </w:divBdr>
              <w:divsChild>
                <w:div w:id="112677218">
                  <w:marLeft w:val="0"/>
                  <w:marRight w:val="0"/>
                  <w:marTop w:val="0"/>
                  <w:marBottom w:val="0"/>
                  <w:divBdr>
                    <w:top w:val="none" w:sz="0" w:space="0" w:color="auto"/>
                    <w:left w:val="none" w:sz="0" w:space="0" w:color="auto"/>
                    <w:bottom w:val="none" w:sz="0" w:space="0" w:color="auto"/>
                    <w:right w:val="none" w:sz="0" w:space="0" w:color="auto"/>
                  </w:divBdr>
                  <w:divsChild>
                    <w:div w:id="304355350">
                      <w:marLeft w:val="0"/>
                      <w:marRight w:val="0"/>
                      <w:marTop w:val="0"/>
                      <w:marBottom w:val="0"/>
                      <w:divBdr>
                        <w:top w:val="none" w:sz="0" w:space="0" w:color="auto"/>
                        <w:left w:val="none" w:sz="0" w:space="0" w:color="auto"/>
                        <w:bottom w:val="none" w:sz="0" w:space="0" w:color="auto"/>
                        <w:right w:val="none" w:sz="0" w:space="0" w:color="auto"/>
                      </w:divBdr>
                      <w:divsChild>
                        <w:div w:id="773206042">
                          <w:marLeft w:val="0"/>
                          <w:marRight w:val="0"/>
                          <w:marTop w:val="0"/>
                          <w:marBottom w:val="0"/>
                          <w:divBdr>
                            <w:top w:val="none" w:sz="0" w:space="0" w:color="auto"/>
                            <w:left w:val="none" w:sz="0" w:space="0" w:color="auto"/>
                            <w:bottom w:val="none" w:sz="0" w:space="0" w:color="auto"/>
                            <w:right w:val="none" w:sz="0" w:space="0" w:color="auto"/>
                          </w:divBdr>
                        </w:div>
                        <w:div w:id="17677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342091">
      <w:bodyDiv w:val="1"/>
      <w:marLeft w:val="0"/>
      <w:marRight w:val="0"/>
      <w:marTop w:val="0"/>
      <w:marBottom w:val="0"/>
      <w:divBdr>
        <w:top w:val="none" w:sz="0" w:space="0" w:color="auto"/>
        <w:left w:val="none" w:sz="0" w:space="0" w:color="auto"/>
        <w:bottom w:val="none" w:sz="0" w:space="0" w:color="auto"/>
        <w:right w:val="none" w:sz="0" w:space="0" w:color="auto"/>
      </w:divBdr>
    </w:div>
    <w:div w:id="948899823">
      <w:bodyDiv w:val="1"/>
      <w:marLeft w:val="0"/>
      <w:marRight w:val="0"/>
      <w:marTop w:val="0"/>
      <w:marBottom w:val="0"/>
      <w:divBdr>
        <w:top w:val="none" w:sz="0" w:space="0" w:color="auto"/>
        <w:left w:val="none" w:sz="0" w:space="0" w:color="auto"/>
        <w:bottom w:val="none" w:sz="0" w:space="0" w:color="auto"/>
        <w:right w:val="none" w:sz="0" w:space="0" w:color="auto"/>
      </w:divBdr>
      <w:divsChild>
        <w:div w:id="52698906">
          <w:marLeft w:val="0"/>
          <w:marRight w:val="0"/>
          <w:marTop w:val="0"/>
          <w:marBottom w:val="0"/>
          <w:divBdr>
            <w:top w:val="none" w:sz="0" w:space="0" w:color="auto"/>
            <w:left w:val="none" w:sz="0" w:space="0" w:color="auto"/>
            <w:bottom w:val="none" w:sz="0" w:space="0" w:color="auto"/>
            <w:right w:val="none" w:sz="0" w:space="0" w:color="auto"/>
          </w:divBdr>
          <w:divsChild>
            <w:div w:id="677192129">
              <w:marLeft w:val="0"/>
              <w:marRight w:val="0"/>
              <w:marTop w:val="0"/>
              <w:marBottom w:val="0"/>
              <w:divBdr>
                <w:top w:val="none" w:sz="0" w:space="0" w:color="auto"/>
                <w:left w:val="none" w:sz="0" w:space="0" w:color="auto"/>
                <w:bottom w:val="none" w:sz="0" w:space="0" w:color="auto"/>
                <w:right w:val="none" w:sz="0" w:space="0" w:color="auto"/>
              </w:divBdr>
              <w:divsChild>
                <w:div w:id="50080268">
                  <w:marLeft w:val="0"/>
                  <w:marRight w:val="0"/>
                  <w:marTop w:val="0"/>
                  <w:marBottom w:val="0"/>
                  <w:divBdr>
                    <w:top w:val="none" w:sz="0" w:space="0" w:color="auto"/>
                    <w:left w:val="none" w:sz="0" w:space="0" w:color="auto"/>
                    <w:bottom w:val="none" w:sz="0" w:space="0" w:color="auto"/>
                    <w:right w:val="none" w:sz="0" w:space="0" w:color="auto"/>
                  </w:divBdr>
                  <w:divsChild>
                    <w:div w:id="274094470">
                      <w:marLeft w:val="0"/>
                      <w:marRight w:val="0"/>
                      <w:marTop w:val="0"/>
                      <w:marBottom w:val="0"/>
                      <w:divBdr>
                        <w:top w:val="none" w:sz="0" w:space="0" w:color="auto"/>
                        <w:left w:val="none" w:sz="0" w:space="0" w:color="auto"/>
                        <w:bottom w:val="none" w:sz="0" w:space="0" w:color="auto"/>
                        <w:right w:val="none" w:sz="0" w:space="0" w:color="auto"/>
                      </w:divBdr>
                      <w:divsChild>
                        <w:div w:id="14686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hpos?context=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p027" TargetMode="External"/><Relationship Id="rId5" Type="http://schemas.openxmlformats.org/officeDocument/2006/relationships/webSettings" Target="webSettings.xml"/><Relationship Id="rId10" Type="http://schemas.openxmlformats.org/officeDocument/2006/relationships/hyperlink" Target="https://www.servicesaustralia.gov.au/practice-incentives-program-eligibility?context=20" TargetMode="External"/><Relationship Id="rId4" Type="http://schemas.openxmlformats.org/officeDocument/2006/relationships/settings" Target="settings.xml"/><Relationship Id="rId9" Type="http://schemas.openxmlformats.org/officeDocument/2006/relationships/hyperlink" Target="https://www.servicesaustralia.gov.au/ip00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074DF824-3488-493E-8466-2530265F450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1114</Words>
  <Characters>6355</Characters>
  <Application>Microsoft Office Word</Application>
  <DocSecurity>0</DocSecurity>
  <Lines>52</Lines>
  <Paragraphs>14</Paragraphs>
  <ScaleCrop>false</ScaleCrop>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Services Australia</dc:creator>
  <cp:keywords/>
  <dc:description/>
  <cp:lastModifiedBy/>
  <cp:revision>1</cp:revision>
  <dcterms:created xsi:type="dcterms:W3CDTF">2024-08-26T00:54:00Z</dcterms:created>
  <dcterms:modified xsi:type="dcterms:W3CDTF">2024-08-26T00:55:00Z</dcterms:modified>
</cp:coreProperties>
</file>