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336C1B9C" w:rsidR="00A82C12" w:rsidRPr="001D4174" w:rsidRDefault="00274FFD" w:rsidP="00A82C12">
      <w:pPr>
        <w:pStyle w:val="DHSHeadinglevel1"/>
      </w:pPr>
      <w:bookmarkStart w:id="0" w:name="_Toc142718988"/>
      <w:r w:rsidRPr="00B27C58">
        <w:t>Budget</w:t>
      </w:r>
      <w:r w:rsidR="00915568" w:rsidRPr="00B27C58">
        <w:t xml:space="preserve"> </w:t>
      </w:r>
      <w:r w:rsidR="00183D7B" w:rsidRPr="00B27C58">
        <w:rPr>
          <w:color w:val="000000" w:themeColor="text1"/>
        </w:rPr>
        <w:t>202</w:t>
      </w:r>
      <w:r w:rsidR="00EE3E1E">
        <w:rPr>
          <w:color w:val="000000" w:themeColor="text1"/>
        </w:rPr>
        <w:t>4</w:t>
      </w:r>
      <w:r w:rsidR="00B27C58" w:rsidRPr="00B27C58">
        <w:rPr>
          <w:color w:val="000000" w:themeColor="text1"/>
        </w:rPr>
        <w:t>-2</w:t>
      </w:r>
      <w:r w:rsidR="00EE3E1E">
        <w:rPr>
          <w:color w:val="000000" w:themeColor="text1"/>
        </w:rPr>
        <w:t>5</w:t>
      </w:r>
    </w:p>
    <w:p w14:paraId="70D275E1" w14:textId="05E7141C" w:rsidR="00B41E94" w:rsidRDefault="00A82C12" w:rsidP="00571BB0">
      <w:pPr>
        <w:pStyle w:val="DHSBodytext"/>
      </w:pPr>
      <w:r>
        <w:t xml:space="preserve">This information is accurate as of </w:t>
      </w:r>
      <w:r w:rsidR="00EE3E1E">
        <w:t xml:space="preserve">14 </w:t>
      </w:r>
      <w:r w:rsidR="002C78D8">
        <w:t>May 202</w:t>
      </w:r>
      <w:r w:rsidR="00EE3E1E">
        <w:t>4</w:t>
      </w:r>
      <w:r>
        <w:t>.</w:t>
      </w:r>
    </w:p>
    <w:p w14:paraId="6B60BCD1" w14:textId="0CFB2C0C" w:rsidR="00B41E94" w:rsidRPr="00B41E94" w:rsidRDefault="000F5DD0" w:rsidP="008F4AB9">
      <w:pPr>
        <w:pStyle w:val="DHSHeadinglevel2"/>
      </w:pPr>
      <w:bookmarkStart w:id="1" w:name="OLE_LINK1"/>
      <w:r w:rsidRPr="000F5DD0">
        <w:t xml:space="preserve">First Nations </w:t>
      </w:r>
      <w:r w:rsidR="00277C02">
        <w:t>p</w:t>
      </w:r>
      <w:r w:rsidRPr="000F5DD0">
        <w:t xml:space="preserve">rison to </w:t>
      </w:r>
      <w:r w:rsidR="00277C02">
        <w:t>e</w:t>
      </w:r>
      <w:r w:rsidRPr="000F5DD0">
        <w:t xml:space="preserve">mployment </w:t>
      </w:r>
      <w:r w:rsidR="00277C02">
        <w:t>p</w:t>
      </w:r>
      <w:r w:rsidRPr="000F5DD0">
        <w:t>rogram</w:t>
      </w:r>
    </w:p>
    <w:bookmarkEnd w:id="1"/>
    <w:p w14:paraId="186F461A" w14:textId="1D85AF8E" w:rsidR="00795EE3" w:rsidRDefault="008E40BD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This measure </w:t>
      </w:r>
      <w:r w:rsidR="002104E0">
        <w:rPr>
          <w:rStyle w:val="Style3"/>
          <w:rFonts w:cs="Arial"/>
        </w:rPr>
        <w:t>will</w:t>
      </w:r>
      <w:r>
        <w:rPr>
          <w:rStyle w:val="Style3"/>
          <w:rFonts w:cs="Arial"/>
        </w:rPr>
        <w:t xml:space="preserve"> introduce a new program designed to </w:t>
      </w:r>
      <w:r w:rsidRPr="00306F69">
        <w:rPr>
          <w:rStyle w:val="Style3"/>
          <w:rFonts w:cs="Arial"/>
        </w:rPr>
        <w:t>achieve stronger prison to work transitions for First Nations people</w:t>
      </w:r>
      <w:r w:rsidR="002104E0">
        <w:rPr>
          <w:rStyle w:val="Style3"/>
          <w:rFonts w:cs="Arial"/>
        </w:rPr>
        <w:t xml:space="preserve">. It </w:t>
      </w:r>
      <w:r w:rsidR="00D40D45">
        <w:rPr>
          <w:rStyle w:val="Style3"/>
          <w:rFonts w:cs="Arial"/>
        </w:rPr>
        <w:t xml:space="preserve">will </w:t>
      </w:r>
      <w:r w:rsidR="002156AC">
        <w:rPr>
          <w:rStyle w:val="Style3"/>
          <w:rFonts w:cs="Arial"/>
        </w:rPr>
        <w:t>replace</w:t>
      </w:r>
      <w:r w:rsidR="00D40D45">
        <w:rPr>
          <w:rStyle w:val="Style3"/>
          <w:rFonts w:cs="Arial"/>
        </w:rPr>
        <w:t xml:space="preserve"> t</w:t>
      </w:r>
      <w:r w:rsidR="00D40D45" w:rsidRPr="00306F69">
        <w:rPr>
          <w:rStyle w:val="Style3"/>
          <w:rFonts w:cs="Arial"/>
        </w:rPr>
        <w:t xml:space="preserve">he </w:t>
      </w:r>
      <w:r w:rsidR="00D40D45">
        <w:rPr>
          <w:rStyle w:val="Style3"/>
          <w:rFonts w:cs="Arial"/>
        </w:rPr>
        <w:t>Time to Work Employment Service (</w:t>
      </w:r>
      <w:r w:rsidR="00D40D45" w:rsidRPr="00306F69">
        <w:rPr>
          <w:rStyle w:val="Style3"/>
          <w:rFonts w:cs="Arial"/>
        </w:rPr>
        <w:t>TWES</w:t>
      </w:r>
      <w:r w:rsidR="00D40D45">
        <w:rPr>
          <w:rStyle w:val="Style3"/>
          <w:rFonts w:cs="Arial"/>
        </w:rPr>
        <w:t>)</w:t>
      </w:r>
      <w:r w:rsidR="00E9176F">
        <w:rPr>
          <w:rStyle w:val="Style3"/>
          <w:rFonts w:cs="Arial"/>
        </w:rPr>
        <w:t xml:space="preserve"> from 1 July 2025</w:t>
      </w:r>
      <w:r w:rsidRPr="00306F69">
        <w:rPr>
          <w:rStyle w:val="Style3"/>
          <w:rFonts w:cs="Arial"/>
        </w:rPr>
        <w:t>.</w:t>
      </w:r>
    </w:p>
    <w:p w14:paraId="031A0213" w14:textId="77777777" w:rsidR="002104E0" w:rsidRPr="00306F69" w:rsidRDefault="002104E0" w:rsidP="000B6BAF">
      <w:pPr>
        <w:rPr>
          <w:rStyle w:val="Style3"/>
          <w:rFonts w:cs="Arial"/>
        </w:rPr>
      </w:pPr>
    </w:p>
    <w:p w14:paraId="14D4475A" w14:textId="2E4E02C6" w:rsidR="00D40D45" w:rsidRDefault="33A144E4" w:rsidP="00306F69">
      <w:pPr>
        <w:rPr>
          <w:rStyle w:val="Style3"/>
          <w:rFonts w:cs="Arial"/>
        </w:rPr>
      </w:pPr>
      <w:r w:rsidRPr="30D5E3B1">
        <w:rPr>
          <w:rStyle w:val="Style3"/>
          <w:rFonts w:cs="Arial"/>
        </w:rPr>
        <w:t xml:space="preserve">TWES will be extended in remote areas to 30 June 2025, in line with arrangements for the Community Development Program. </w:t>
      </w:r>
      <w:r w:rsidR="00D40D45" w:rsidRPr="30D5E3B1">
        <w:rPr>
          <w:rStyle w:val="Style3"/>
          <w:rFonts w:cs="Arial"/>
        </w:rPr>
        <w:t xml:space="preserve">TWES </w:t>
      </w:r>
      <w:r w:rsidR="002104E0">
        <w:rPr>
          <w:rStyle w:val="Style3"/>
          <w:rFonts w:cs="Arial"/>
        </w:rPr>
        <w:t>won’t</w:t>
      </w:r>
      <w:r w:rsidR="00D40D45" w:rsidRPr="30D5E3B1">
        <w:rPr>
          <w:rStyle w:val="Style3"/>
          <w:rFonts w:cs="Arial"/>
        </w:rPr>
        <w:t xml:space="preserve"> be extended in non-remote areas.</w:t>
      </w:r>
    </w:p>
    <w:p w14:paraId="372BC3CD" w14:textId="03FE1E5E" w:rsidR="30D5E3B1" w:rsidRDefault="30D5E3B1" w:rsidP="30D5E3B1">
      <w:pPr>
        <w:rPr>
          <w:rStyle w:val="Style3"/>
          <w:rFonts w:cs="Arial"/>
        </w:rPr>
      </w:pPr>
    </w:p>
    <w:p w14:paraId="2B6E0C9A" w14:textId="00361C6D" w:rsidR="00E9176F" w:rsidRDefault="1E91B725" w:rsidP="00306F69">
      <w:pPr>
        <w:rPr>
          <w:rStyle w:val="Style3"/>
          <w:rFonts w:cs="Arial"/>
        </w:rPr>
      </w:pPr>
      <w:r w:rsidRPr="30D5E3B1">
        <w:rPr>
          <w:rStyle w:val="Style3"/>
          <w:rFonts w:cs="Arial"/>
        </w:rPr>
        <w:t>To address the servicing gap until the new program is implemented</w:t>
      </w:r>
      <w:r w:rsidR="00E9176F">
        <w:rPr>
          <w:rStyle w:val="Style3"/>
          <w:rFonts w:cs="Arial"/>
        </w:rPr>
        <w:t>:</w:t>
      </w:r>
    </w:p>
    <w:p w14:paraId="08CC0041" w14:textId="7FF1D2F4" w:rsidR="00E9176F" w:rsidRDefault="1E91B725" w:rsidP="00E9176F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E9176F">
        <w:rPr>
          <w:rStyle w:val="Style3"/>
          <w:rFonts w:cs="Arial"/>
        </w:rPr>
        <w:t>eligibility for the Pre-Release Prisoner Initiative will be expanded</w:t>
      </w:r>
      <w:r w:rsidR="00E9176F">
        <w:rPr>
          <w:rStyle w:val="Style3"/>
          <w:rFonts w:cs="Arial"/>
        </w:rPr>
        <w:t>, including</w:t>
      </w:r>
      <w:r w:rsidRPr="00E9176F">
        <w:rPr>
          <w:rStyle w:val="Style3"/>
          <w:rFonts w:cs="Arial"/>
        </w:rPr>
        <w:t xml:space="preserve"> the existing specialist youth service, Workforce Australia </w:t>
      </w:r>
      <w:r w:rsidR="002104E0" w:rsidRPr="00E9176F">
        <w:rPr>
          <w:rStyle w:val="Style3"/>
          <w:rFonts w:cs="Arial"/>
        </w:rPr>
        <w:t>–</w:t>
      </w:r>
      <w:r w:rsidRPr="00E9176F">
        <w:rPr>
          <w:rStyle w:val="Style3"/>
          <w:rFonts w:cs="Arial"/>
        </w:rPr>
        <w:t xml:space="preserve"> Transition to Work</w:t>
      </w:r>
    </w:p>
    <w:p w14:paraId="083EAD26" w14:textId="4268172D" w:rsidR="00EB575E" w:rsidRPr="00E9176F" w:rsidRDefault="00E9176F" w:rsidP="003D0E77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>
        <w:rPr>
          <w:rStyle w:val="Style3"/>
          <w:rFonts w:cs="Arial"/>
        </w:rPr>
        <w:t>f</w:t>
      </w:r>
      <w:r w:rsidR="555A4BB0" w:rsidRPr="003D0E77">
        <w:rPr>
          <w:rStyle w:val="Style3"/>
          <w:rFonts w:cs="Arial"/>
        </w:rPr>
        <w:t>lexibility will be introduced for all providers to deliver in</w:t>
      </w:r>
      <w:r>
        <w:rPr>
          <w:rStyle w:val="Style3"/>
          <w:rFonts w:cs="Arial"/>
        </w:rPr>
        <w:t>-</w:t>
      </w:r>
      <w:r w:rsidR="555A4BB0" w:rsidRPr="003D0E77">
        <w:rPr>
          <w:rStyle w:val="Style3"/>
          <w:rFonts w:cs="Arial"/>
        </w:rPr>
        <w:t xml:space="preserve">prison support in jurisdictions that </w:t>
      </w:r>
      <w:r w:rsidR="002104E0" w:rsidRPr="003D0E77">
        <w:rPr>
          <w:rStyle w:val="Style3"/>
          <w:rFonts w:cs="Arial"/>
        </w:rPr>
        <w:t>don’t</w:t>
      </w:r>
      <w:r w:rsidR="555A4BB0" w:rsidRPr="003D0E77">
        <w:rPr>
          <w:rStyle w:val="Style3"/>
          <w:rFonts w:cs="Arial"/>
        </w:rPr>
        <w:t xml:space="preserve"> allow day release</w:t>
      </w:r>
      <w:r>
        <w:rPr>
          <w:rStyle w:val="Style3"/>
          <w:rFonts w:cs="Arial"/>
        </w:rPr>
        <w:t>,</w:t>
      </w:r>
      <w:r w:rsidR="555A4BB0" w:rsidRPr="00E9176F">
        <w:rPr>
          <w:rStyle w:val="Style3"/>
          <w:rFonts w:cs="Arial"/>
        </w:rPr>
        <w:t xml:space="preserve"> </w:t>
      </w:r>
      <w:r w:rsidR="002104E0" w:rsidRPr="007C6FC6">
        <w:rPr>
          <w:rStyle w:val="Style3"/>
          <w:rFonts w:cs="Arial"/>
        </w:rPr>
        <w:t>such as</w:t>
      </w:r>
      <w:r w:rsidR="555A4BB0" w:rsidRPr="003D0E77">
        <w:rPr>
          <w:rStyle w:val="Style3"/>
          <w:rFonts w:cs="Arial"/>
        </w:rPr>
        <w:t xml:space="preserve"> Queensland.</w:t>
      </w:r>
    </w:p>
    <w:p w14:paraId="7CAAADB9" w14:textId="77777777" w:rsidR="00EB575E" w:rsidRDefault="00EB575E" w:rsidP="00306F69">
      <w:pPr>
        <w:rPr>
          <w:rStyle w:val="Style3"/>
          <w:rFonts w:cs="Arial"/>
        </w:rPr>
      </w:pPr>
    </w:p>
    <w:p w14:paraId="358526F4" w14:textId="01CD2F37" w:rsidR="00D4547E" w:rsidRDefault="555A4BB0" w:rsidP="00306F69">
      <w:pPr>
        <w:rPr>
          <w:rStyle w:val="Style3"/>
          <w:rFonts w:cs="Arial"/>
        </w:rPr>
      </w:pPr>
      <w:r w:rsidRPr="000866B7">
        <w:rPr>
          <w:rStyle w:val="Style3"/>
          <w:rFonts w:cs="Arial"/>
        </w:rPr>
        <w:t>Changes to the Pre-Release Prisoner Initiative will take effect this year.</w:t>
      </w:r>
    </w:p>
    <w:p w14:paraId="7D032863" w14:textId="77777777" w:rsidR="00D4547E" w:rsidRDefault="00D4547E" w:rsidP="00306F69">
      <w:pPr>
        <w:rPr>
          <w:rStyle w:val="Style3"/>
          <w:rFonts w:cs="Arial"/>
        </w:rPr>
      </w:pPr>
    </w:p>
    <w:p w14:paraId="250545D3" w14:textId="3798F6D2" w:rsidR="00E9176F" w:rsidRDefault="00E9176F" w:rsidP="00306F69">
      <w:pPr>
        <w:rPr>
          <w:rStyle w:val="Style3"/>
          <w:rFonts w:cs="Arial"/>
        </w:rPr>
      </w:pPr>
      <w:r>
        <w:rPr>
          <w:rStyle w:val="Style3"/>
          <w:rFonts w:cs="Arial"/>
        </w:rPr>
        <w:t>On 1 July 2025, t</w:t>
      </w:r>
      <w:r w:rsidR="00F14553" w:rsidRPr="00306F69">
        <w:rPr>
          <w:rStyle w:val="Style3"/>
          <w:rFonts w:cs="Arial"/>
        </w:rPr>
        <w:t xml:space="preserve">he </w:t>
      </w:r>
      <w:r w:rsidR="00F722A5">
        <w:rPr>
          <w:rStyle w:val="Style3"/>
          <w:rFonts w:cs="Arial"/>
        </w:rPr>
        <w:t xml:space="preserve">new </w:t>
      </w:r>
      <w:r w:rsidR="00F14553" w:rsidRPr="00306F69">
        <w:rPr>
          <w:rStyle w:val="Style3"/>
          <w:rFonts w:cs="Arial"/>
        </w:rPr>
        <w:t xml:space="preserve">program will </w:t>
      </w:r>
      <w:r>
        <w:rPr>
          <w:rStyle w:val="Style3"/>
          <w:rFonts w:cs="Arial"/>
        </w:rPr>
        <w:t xml:space="preserve">start </w:t>
      </w:r>
      <w:r w:rsidR="00B84935">
        <w:rPr>
          <w:rStyle w:val="Style3"/>
          <w:rFonts w:cs="Arial"/>
        </w:rPr>
        <w:t xml:space="preserve">in 27 select prisons and </w:t>
      </w:r>
      <w:r w:rsidR="00296D19">
        <w:rPr>
          <w:rStyle w:val="Style3"/>
          <w:rFonts w:cs="Arial"/>
        </w:rPr>
        <w:t>juvenile</w:t>
      </w:r>
      <w:r w:rsidR="00B84935">
        <w:rPr>
          <w:rStyle w:val="Style3"/>
          <w:rFonts w:cs="Arial"/>
        </w:rPr>
        <w:t xml:space="preserve"> justice facilities, </w:t>
      </w:r>
      <w:r>
        <w:rPr>
          <w:rStyle w:val="Style3"/>
          <w:rFonts w:cs="Arial"/>
        </w:rPr>
        <w:t xml:space="preserve">in </w:t>
      </w:r>
      <w:r w:rsidR="00B84935">
        <w:rPr>
          <w:rStyle w:val="Style3"/>
          <w:rFonts w:cs="Arial"/>
        </w:rPr>
        <w:t>every state and territory.</w:t>
      </w:r>
    </w:p>
    <w:p w14:paraId="02BB9764" w14:textId="77777777" w:rsidR="00E9176F" w:rsidRDefault="00E9176F" w:rsidP="00306F69">
      <w:pPr>
        <w:rPr>
          <w:rStyle w:val="Style3"/>
          <w:rFonts w:cs="Arial"/>
        </w:rPr>
      </w:pPr>
    </w:p>
    <w:p w14:paraId="14AAF581" w14:textId="2C017572" w:rsidR="00306F69" w:rsidRDefault="00B84935" w:rsidP="00306F69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From 1 July 2026, it will be expanded to all </w:t>
      </w:r>
      <w:r w:rsidR="00F14553" w:rsidRPr="00306F69">
        <w:rPr>
          <w:rStyle w:val="Style3"/>
          <w:rFonts w:cs="Arial"/>
        </w:rPr>
        <w:t>prisons and juvenile justice facilities</w:t>
      </w:r>
      <w:r w:rsidR="001D6A6B" w:rsidRPr="00306F69">
        <w:rPr>
          <w:rStyle w:val="Style3"/>
          <w:rFonts w:cs="Arial"/>
        </w:rPr>
        <w:t>, across both remote and non-remote areas.</w:t>
      </w:r>
      <w:r w:rsidR="00E00CD8" w:rsidRPr="00306F69">
        <w:rPr>
          <w:rStyle w:val="Style3"/>
          <w:rFonts w:cs="Arial"/>
        </w:rPr>
        <w:t xml:space="preserve"> It</w:t>
      </w:r>
      <w:r w:rsidR="00EB575E">
        <w:rPr>
          <w:rStyle w:val="Style3"/>
          <w:rFonts w:cs="Arial"/>
        </w:rPr>
        <w:t>’</w:t>
      </w:r>
      <w:r w:rsidR="00E00CD8" w:rsidRPr="00306F69">
        <w:rPr>
          <w:rStyle w:val="Style3"/>
          <w:rFonts w:cs="Arial"/>
        </w:rPr>
        <w:t>s estimated that over time</w:t>
      </w:r>
      <w:r w:rsidR="00B573A3">
        <w:rPr>
          <w:rStyle w:val="Style3"/>
          <w:rFonts w:cs="Arial"/>
        </w:rPr>
        <w:t>,</w:t>
      </w:r>
      <w:r w:rsidR="00E00CD8" w:rsidRPr="00306F69">
        <w:rPr>
          <w:rStyle w:val="Style3"/>
          <w:rFonts w:cs="Arial"/>
        </w:rPr>
        <w:t xml:space="preserve"> more than </w:t>
      </w:r>
      <w:r w:rsidR="00B626D6">
        <w:rPr>
          <w:rStyle w:val="Style3"/>
          <w:rFonts w:cs="Arial"/>
        </w:rPr>
        <w:t>6,000</w:t>
      </w:r>
      <w:r w:rsidR="00E00CD8" w:rsidRPr="00306F69">
        <w:rPr>
          <w:rStyle w:val="Style3"/>
          <w:rFonts w:cs="Arial"/>
        </w:rPr>
        <w:t xml:space="preserve"> </w:t>
      </w:r>
      <w:r w:rsidR="00F722A5">
        <w:rPr>
          <w:rStyle w:val="Style3"/>
          <w:rFonts w:cs="Arial"/>
        </w:rPr>
        <w:t>First Nations</w:t>
      </w:r>
      <w:r w:rsidR="00E00CD8" w:rsidRPr="00306F69">
        <w:rPr>
          <w:rStyle w:val="Style3"/>
          <w:rFonts w:cs="Arial"/>
        </w:rPr>
        <w:t xml:space="preserve"> </w:t>
      </w:r>
      <w:r w:rsidR="00A34252" w:rsidRPr="00306F69">
        <w:rPr>
          <w:rStyle w:val="Style3"/>
          <w:rFonts w:cs="Arial"/>
        </w:rPr>
        <w:t>people</w:t>
      </w:r>
      <w:r w:rsidR="00E00CD8" w:rsidRPr="00306F69">
        <w:rPr>
          <w:rStyle w:val="Style3"/>
          <w:rFonts w:cs="Arial"/>
        </w:rPr>
        <w:t xml:space="preserve"> will </w:t>
      </w:r>
      <w:r w:rsidR="0099445E">
        <w:rPr>
          <w:rStyle w:val="Style3"/>
          <w:rFonts w:cs="Arial"/>
        </w:rPr>
        <w:t xml:space="preserve">participate in </w:t>
      </w:r>
      <w:r w:rsidR="00E00CD8" w:rsidRPr="00306F69">
        <w:rPr>
          <w:rStyle w:val="Style3"/>
          <w:rFonts w:cs="Arial"/>
        </w:rPr>
        <w:t xml:space="preserve">the program </w:t>
      </w:r>
      <w:r w:rsidR="00E9176F">
        <w:rPr>
          <w:rStyle w:val="Style3"/>
          <w:rFonts w:cs="Arial"/>
        </w:rPr>
        <w:t>each</w:t>
      </w:r>
      <w:r w:rsidR="00E00CD8" w:rsidRPr="00306F69">
        <w:rPr>
          <w:rStyle w:val="Style3"/>
          <w:rFonts w:cs="Arial"/>
        </w:rPr>
        <w:t xml:space="preserve"> year.</w:t>
      </w:r>
    </w:p>
    <w:p w14:paraId="75DF5F8E" w14:textId="77777777" w:rsidR="00306F69" w:rsidRDefault="00306F69" w:rsidP="00306F69">
      <w:pPr>
        <w:rPr>
          <w:rStyle w:val="Style3"/>
          <w:rFonts w:cs="Arial"/>
        </w:rPr>
      </w:pPr>
    </w:p>
    <w:p w14:paraId="6E69F564" w14:textId="0B3410DA" w:rsidR="000F3CB8" w:rsidRDefault="000F3CB8" w:rsidP="000B6BAF">
      <w:pPr>
        <w:rPr>
          <w:rStyle w:val="Style3"/>
          <w:rFonts w:cs="Arial"/>
        </w:rPr>
      </w:pPr>
      <w:r w:rsidRPr="0894BE62">
        <w:rPr>
          <w:rStyle w:val="Style3"/>
          <w:rFonts w:cs="Arial"/>
        </w:rPr>
        <w:t xml:space="preserve">Under the new program, First Nations people </w:t>
      </w:r>
      <w:r w:rsidR="00EB575E">
        <w:rPr>
          <w:rStyle w:val="Style3"/>
          <w:rFonts w:cs="Arial"/>
        </w:rPr>
        <w:t>who get</w:t>
      </w:r>
      <w:r w:rsidR="00EB575E" w:rsidRPr="0894BE62">
        <w:rPr>
          <w:rStyle w:val="Style3"/>
          <w:rFonts w:cs="Arial"/>
        </w:rPr>
        <w:t xml:space="preserve"> </w:t>
      </w:r>
      <w:r w:rsidRPr="0894BE62">
        <w:rPr>
          <w:rStyle w:val="Style3"/>
          <w:rFonts w:cs="Arial"/>
        </w:rPr>
        <w:t xml:space="preserve">income support with mutual obligation requirements </w:t>
      </w:r>
      <w:r w:rsidR="00EB575E">
        <w:rPr>
          <w:rStyle w:val="Style3"/>
          <w:rFonts w:cs="Arial"/>
        </w:rPr>
        <w:t>won’t</w:t>
      </w:r>
      <w:r w:rsidRPr="0894BE62">
        <w:rPr>
          <w:rStyle w:val="Style3"/>
          <w:rFonts w:cs="Arial"/>
        </w:rPr>
        <w:t xml:space="preserve"> be referred to employment services until 12 months after their release. During this </w:t>
      </w:r>
      <w:proofErr w:type="gramStart"/>
      <w:r w:rsidRPr="0894BE62">
        <w:rPr>
          <w:rStyle w:val="Style3"/>
          <w:rFonts w:cs="Arial"/>
        </w:rPr>
        <w:t>period</w:t>
      </w:r>
      <w:proofErr w:type="gramEnd"/>
      <w:r w:rsidRPr="0894BE62">
        <w:rPr>
          <w:rStyle w:val="Style3"/>
          <w:rFonts w:cs="Arial"/>
        </w:rPr>
        <w:t xml:space="preserve"> they </w:t>
      </w:r>
      <w:r w:rsidR="00EB575E" w:rsidRPr="0894BE62">
        <w:rPr>
          <w:rStyle w:val="Style3"/>
          <w:rFonts w:cs="Arial"/>
        </w:rPr>
        <w:t>w</w:t>
      </w:r>
      <w:r w:rsidR="00EB575E">
        <w:rPr>
          <w:rStyle w:val="Style3"/>
          <w:rFonts w:cs="Arial"/>
        </w:rPr>
        <w:t xml:space="preserve">ill </w:t>
      </w:r>
      <w:r w:rsidRPr="0894BE62">
        <w:rPr>
          <w:rStyle w:val="Style3"/>
          <w:rFonts w:cs="Arial"/>
        </w:rPr>
        <w:t xml:space="preserve">be considered ‘Centrelink managed’ and </w:t>
      </w:r>
      <w:r w:rsidR="00EB575E" w:rsidRPr="0894BE62">
        <w:rPr>
          <w:rStyle w:val="Style3"/>
          <w:rFonts w:cs="Arial"/>
        </w:rPr>
        <w:t>w</w:t>
      </w:r>
      <w:r w:rsidR="00EB575E">
        <w:rPr>
          <w:rStyle w:val="Style3"/>
          <w:rFonts w:cs="Arial"/>
        </w:rPr>
        <w:t>ill</w:t>
      </w:r>
      <w:r w:rsidR="00EB575E" w:rsidRPr="0894BE62">
        <w:rPr>
          <w:rStyle w:val="Style3"/>
          <w:rFonts w:cs="Arial"/>
        </w:rPr>
        <w:t xml:space="preserve"> </w:t>
      </w:r>
      <w:r w:rsidRPr="0894BE62">
        <w:rPr>
          <w:rStyle w:val="Style3"/>
          <w:rFonts w:cs="Arial"/>
        </w:rPr>
        <w:t>fully meet their mutual obligation requirements by participating in the new program.</w:t>
      </w:r>
    </w:p>
    <w:p w14:paraId="22FDB065" w14:textId="77777777" w:rsidR="00306F69" w:rsidRDefault="00306F69" w:rsidP="000B6BAF">
      <w:pPr>
        <w:rPr>
          <w:rStyle w:val="Style3"/>
          <w:rFonts w:cs="Arial"/>
        </w:rPr>
      </w:pPr>
    </w:p>
    <w:p w14:paraId="1A5E32FA" w14:textId="3D9997E9" w:rsidR="008E40BD" w:rsidRPr="00306F69" w:rsidRDefault="006A746D" w:rsidP="000B6BAF">
      <w:pPr>
        <w:rPr>
          <w:rStyle w:val="Style3"/>
          <w:rFonts w:cs="Arial"/>
        </w:rPr>
      </w:pPr>
      <w:r w:rsidRPr="00306F69">
        <w:rPr>
          <w:rStyle w:val="Style3"/>
          <w:rFonts w:cs="Arial"/>
        </w:rPr>
        <w:t xml:space="preserve">Services Australia will </w:t>
      </w:r>
      <w:r w:rsidR="00EB575E">
        <w:rPr>
          <w:rStyle w:val="Style3"/>
          <w:rFonts w:cs="Arial"/>
        </w:rPr>
        <w:t>get</w:t>
      </w:r>
      <w:r w:rsidR="00EB575E" w:rsidRPr="00306F69">
        <w:rPr>
          <w:rStyle w:val="Style3"/>
          <w:rFonts w:cs="Arial"/>
        </w:rPr>
        <w:t xml:space="preserve"> </w:t>
      </w:r>
      <w:r w:rsidRPr="00306F69">
        <w:rPr>
          <w:rStyle w:val="Style3"/>
          <w:rFonts w:cs="Arial"/>
        </w:rPr>
        <w:t>$16.5 million</w:t>
      </w:r>
      <w:r w:rsidR="00C65155">
        <w:rPr>
          <w:rStyle w:val="Style3"/>
          <w:rFonts w:cs="Arial"/>
        </w:rPr>
        <w:t xml:space="preserve"> over 4 years</w:t>
      </w:r>
      <w:r w:rsidRPr="00306F69">
        <w:rPr>
          <w:rStyle w:val="Style3"/>
          <w:rFonts w:cs="Arial"/>
        </w:rPr>
        <w:t xml:space="preserve"> through to 2027</w:t>
      </w:r>
      <w:r w:rsidR="00D4547E">
        <w:rPr>
          <w:rStyle w:val="Style3"/>
          <w:rFonts w:cs="Arial"/>
        </w:rPr>
        <w:t>–</w:t>
      </w:r>
      <w:r w:rsidRPr="00306F69">
        <w:rPr>
          <w:rStyle w:val="Style3"/>
          <w:rFonts w:cs="Arial"/>
        </w:rPr>
        <w:t>28 to support participants in the program.</w:t>
      </w:r>
    </w:p>
    <w:p w14:paraId="113BE78E" w14:textId="77777777" w:rsidR="006A746D" w:rsidRPr="00306F69" w:rsidRDefault="006A746D" w:rsidP="000B6BAF">
      <w:pPr>
        <w:rPr>
          <w:rStyle w:val="Style3"/>
          <w:rFonts w:cs="Arial"/>
        </w:rPr>
      </w:pPr>
    </w:p>
    <w:p w14:paraId="539D4E03" w14:textId="77777777" w:rsidR="00EB575E" w:rsidRDefault="006A746D" w:rsidP="000B6BAF">
      <w:pPr>
        <w:rPr>
          <w:rStyle w:val="Style3"/>
          <w:rFonts w:cs="Arial"/>
        </w:rPr>
      </w:pPr>
      <w:r w:rsidRPr="00306F69">
        <w:rPr>
          <w:rStyle w:val="Style3"/>
          <w:rFonts w:cs="Arial"/>
        </w:rPr>
        <w:t>The measure is led by the Department of Employment and Workplace Relations</w:t>
      </w:r>
      <w:r w:rsidR="0063345A">
        <w:rPr>
          <w:rStyle w:val="Style3"/>
          <w:rFonts w:cs="Arial"/>
        </w:rPr>
        <w:t>.</w:t>
      </w:r>
    </w:p>
    <w:p w14:paraId="5283105F" w14:textId="77777777" w:rsidR="00D52C59" w:rsidRDefault="00D52C59" w:rsidP="009434C2">
      <w:pPr>
        <w:pStyle w:val="DHSBodytext"/>
      </w:pPr>
    </w:p>
    <w:p w14:paraId="486FA3AB" w14:textId="27673E33" w:rsidR="00E4177E" w:rsidRDefault="00E9176F" w:rsidP="00E4177E">
      <w:pPr>
        <w:pStyle w:val="DHSBodytext"/>
        <w:rPr>
          <w:rStyle w:val="Style2"/>
        </w:rPr>
      </w:pPr>
      <w:r>
        <w:rPr>
          <w:rStyle w:val="Style2"/>
        </w:rPr>
        <w:t>This measure isn’t subject to legislation passing.</w:t>
      </w:r>
    </w:p>
    <w:p w14:paraId="6441FC69" w14:textId="77777777" w:rsidR="00B41E94" w:rsidRPr="00F85C8F" w:rsidRDefault="00B41E94" w:rsidP="00E4177E">
      <w:pPr>
        <w:pStyle w:val="DHSBodytext"/>
        <w:rPr>
          <w:rFonts w:asciiTheme="minorHAnsi" w:hAnsiTheme="minorHAnsi"/>
        </w:rPr>
      </w:pPr>
    </w:p>
    <w:p w14:paraId="7DE6BB4C" w14:textId="77777777" w:rsidR="00E4177E" w:rsidRPr="00D52C59" w:rsidRDefault="00E4177E" w:rsidP="00E4177E">
      <w:pPr>
        <w:pStyle w:val="DHSHeadinglevel3"/>
      </w:pPr>
      <w:r w:rsidRPr="00D52C59">
        <w:t>Who this measure affect</w:t>
      </w:r>
      <w:r>
        <w:t>s</w:t>
      </w:r>
    </w:p>
    <w:bookmarkEnd w:id="0"/>
    <w:p w14:paraId="22CA9BE0" w14:textId="1F049C3E" w:rsidR="00EB575E" w:rsidRPr="003D0E77" w:rsidRDefault="00571BB0" w:rsidP="00EB575E">
      <w:pPr>
        <w:rPr>
          <w:rFonts w:ascii="Arial" w:hAnsi="Arial" w:cs="Arial"/>
        </w:rPr>
      </w:pPr>
      <w:r w:rsidRPr="003D0E77">
        <w:rPr>
          <w:rFonts w:ascii="Arial" w:hAnsi="Arial" w:cs="Arial"/>
        </w:rPr>
        <w:t>This affects</w:t>
      </w:r>
      <w:r w:rsidR="00EB575E" w:rsidRPr="003D0E77">
        <w:rPr>
          <w:rFonts w:ascii="Arial" w:hAnsi="Arial" w:cs="Arial"/>
        </w:rPr>
        <w:t xml:space="preserve"> First Nations people who</w:t>
      </w:r>
      <w:r w:rsidR="00EB575E">
        <w:rPr>
          <w:rFonts w:ascii="Arial" w:hAnsi="Arial" w:cs="Arial"/>
        </w:rPr>
        <w:t xml:space="preserve"> meet </w:t>
      </w:r>
      <w:proofErr w:type="gramStart"/>
      <w:r w:rsidR="00EB575E">
        <w:rPr>
          <w:rFonts w:ascii="Arial" w:hAnsi="Arial" w:cs="Arial"/>
        </w:rPr>
        <w:t>all of</w:t>
      </w:r>
      <w:proofErr w:type="gramEnd"/>
      <w:r w:rsidR="00EB575E">
        <w:rPr>
          <w:rFonts w:ascii="Arial" w:hAnsi="Arial" w:cs="Arial"/>
        </w:rPr>
        <w:t xml:space="preserve"> the following</w:t>
      </w:r>
      <w:r w:rsidR="00EB575E" w:rsidRPr="003D0E77">
        <w:rPr>
          <w:rFonts w:ascii="Arial" w:hAnsi="Arial" w:cs="Arial"/>
        </w:rPr>
        <w:t xml:space="preserve">: </w:t>
      </w:r>
    </w:p>
    <w:p w14:paraId="51CAB7D1" w14:textId="77777777" w:rsidR="00EB575E" w:rsidRPr="00EB575E" w:rsidRDefault="00EB575E" w:rsidP="00EB575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D0E77">
        <w:rPr>
          <w:rFonts w:ascii="Arial" w:hAnsi="Arial" w:cs="Arial"/>
        </w:rPr>
        <w:t xml:space="preserve">have been incarcerated with a known release date, or on </w:t>
      </w:r>
      <w:proofErr w:type="gramStart"/>
      <w:r w:rsidRPr="003D0E77">
        <w:rPr>
          <w:rFonts w:ascii="Arial" w:hAnsi="Arial" w:cs="Arial"/>
        </w:rPr>
        <w:t>remand</w:t>
      </w:r>
      <w:proofErr w:type="gramEnd"/>
    </w:p>
    <w:p w14:paraId="77D45994" w14:textId="77777777" w:rsidR="00EB575E" w:rsidRPr="00145B76" w:rsidRDefault="00EB575E" w:rsidP="003D0E77">
      <w:pPr>
        <w:pStyle w:val="ListParagraph"/>
        <w:numPr>
          <w:ilvl w:val="0"/>
          <w:numId w:val="16"/>
        </w:numPr>
        <w:rPr>
          <w:rFonts w:cs="Arial"/>
        </w:rPr>
      </w:pPr>
      <w:r w:rsidRPr="003D0E77">
        <w:rPr>
          <w:rFonts w:ascii="Arial" w:hAnsi="Arial" w:cs="Arial"/>
        </w:rPr>
        <w:t xml:space="preserve">aged 15 and over, including those in juvenile corrections </w:t>
      </w:r>
      <w:proofErr w:type="gramStart"/>
      <w:r w:rsidRPr="003D0E77">
        <w:rPr>
          <w:rFonts w:ascii="Arial" w:hAnsi="Arial" w:cs="Arial"/>
        </w:rPr>
        <w:t>centres</w:t>
      </w:r>
      <w:proofErr w:type="gramEnd"/>
    </w:p>
    <w:p w14:paraId="35CC59FA" w14:textId="035F209B" w:rsidR="00EE1ACE" w:rsidRPr="00B41E94" w:rsidRDefault="00EB575E" w:rsidP="003D0E77">
      <w:pPr>
        <w:pStyle w:val="ListParagraph"/>
        <w:numPr>
          <w:ilvl w:val="0"/>
          <w:numId w:val="16"/>
        </w:numPr>
        <w:rPr>
          <w:rFonts w:cs="Arial"/>
        </w:rPr>
      </w:pPr>
      <w:r w:rsidRPr="003D0E77">
        <w:rPr>
          <w:rFonts w:ascii="Arial" w:hAnsi="Arial" w:cs="Arial"/>
        </w:rPr>
        <w:t>volunteer to participate in the new program</w:t>
      </w:r>
      <w:r>
        <w:rPr>
          <w:rFonts w:ascii="Arial" w:hAnsi="Arial" w:cs="Arial"/>
        </w:rPr>
        <w:t>.</w:t>
      </w:r>
    </w:p>
    <w:p w14:paraId="25E3CE57" w14:textId="77777777" w:rsidR="00B41E94" w:rsidRPr="008F4AB9" w:rsidRDefault="00B41E94" w:rsidP="008F4AB9">
      <w:pPr>
        <w:rPr>
          <w:rFonts w:cs="Arial"/>
        </w:rPr>
      </w:pPr>
    </w:p>
    <w:p w14:paraId="7BA49CE4" w14:textId="0D7EFF07" w:rsidR="00510D3F" w:rsidRPr="00D52C59" w:rsidRDefault="00510D3F" w:rsidP="00D52C59">
      <w:pPr>
        <w:pStyle w:val="DHSHeadinglevel3"/>
      </w:pPr>
      <w:r w:rsidRPr="00D52C59">
        <w:lastRenderedPageBreak/>
        <w:t>When this start</w:t>
      </w:r>
      <w:r w:rsidR="004A3217">
        <w:t>s</w:t>
      </w:r>
      <w:r w:rsidRPr="00D52C59">
        <w:t xml:space="preserve"> and finish</w:t>
      </w:r>
      <w:r w:rsidR="004A3217">
        <w:t>es</w:t>
      </w:r>
    </w:p>
    <w:p w14:paraId="3F315D31" w14:textId="0A6037D9" w:rsidR="00EB575E" w:rsidRDefault="006371D7" w:rsidP="001573A2">
      <w:pPr>
        <w:rPr>
          <w:rStyle w:val="Style3"/>
          <w:rFonts w:cs="Arial"/>
        </w:rPr>
      </w:pPr>
      <w:r>
        <w:rPr>
          <w:rStyle w:val="Style3"/>
          <w:rFonts w:cs="Arial"/>
        </w:rPr>
        <w:t>T</w:t>
      </w:r>
      <w:r w:rsidR="00956CC5">
        <w:rPr>
          <w:rStyle w:val="Style3"/>
          <w:rFonts w:cs="Arial"/>
        </w:rPr>
        <w:t xml:space="preserve">he new </w:t>
      </w:r>
      <w:r w:rsidR="00277C02">
        <w:rPr>
          <w:rStyle w:val="Style3"/>
          <w:rFonts w:cs="Arial"/>
        </w:rPr>
        <w:t>p</w:t>
      </w:r>
      <w:r w:rsidR="00956CC5">
        <w:rPr>
          <w:rStyle w:val="Style3"/>
          <w:rFonts w:cs="Arial"/>
        </w:rPr>
        <w:t xml:space="preserve">rogram will </w:t>
      </w:r>
      <w:r w:rsidR="004226F5">
        <w:rPr>
          <w:rStyle w:val="Style3"/>
          <w:rFonts w:cs="Arial"/>
        </w:rPr>
        <w:t>be phased in from</w:t>
      </w:r>
      <w:r w:rsidR="00956CC5">
        <w:rPr>
          <w:rStyle w:val="Style3"/>
          <w:rFonts w:cs="Arial"/>
        </w:rPr>
        <w:t xml:space="preserve"> 1 July 2025 and </w:t>
      </w:r>
      <w:r w:rsidR="00BC6275">
        <w:rPr>
          <w:rStyle w:val="Style3"/>
          <w:rFonts w:cs="Arial"/>
        </w:rPr>
        <w:t>be ongoing.</w:t>
      </w:r>
    </w:p>
    <w:p w14:paraId="1E9FE27C" w14:textId="77777777" w:rsidR="00EB575E" w:rsidRDefault="00EB575E" w:rsidP="001573A2">
      <w:pPr>
        <w:rPr>
          <w:rStyle w:val="Style3"/>
          <w:rFonts w:cs="Arial"/>
        </w:rPr>
      </w:pPr>
    </w:p>
    <w:p w14:paraId="66B609BF" w14:textId="5B3C6DC1" w:rsidR="00EB575E" w:rsidRDefault="00EB575E" w:rsidP="001573A2">
      <w:pPr>
        <w:rPr>
          <w:rStyle w:val="Style3"/>
          <w:rFonts w:cs="Arial"/>
        </w:rPr>
      </w:pPr>
      <w:r>
        <w:rPr>
          <w:rStyle w:val="Style3"/>
          <w:rFonts w:cs="Arial"/>
        </w:rPr>
        <w:t>The current TWES program</w:t>
      </w:r>
      <w:r w:rsidR="00E9176F">
        <w:rPr>
          <w:rStyle w:val="Style3"/>
          <w:rFonts w:cs="Arial"/>
        </w:rPr>
        <w:t xml:space="preserve"> will stop</w:t>
      </w:r>
      <w:r>
        <w:rPr>
          <w:rStyle w:val="Style3"/>
          <w:rFonts w:cs="Arial"/>
        </w:rPr>
        <w:t>:</w:t>
      </w:r>
    </w:p>
    <w:p w14:paraId="5D584CE5" w14:textId="284B2EE4" w:rsidR="00E9176F" w:rsidRDefault="00EB575E" w:rsidP="00975FEB">
      <w:pPr>
        <w:pStyle w:val="ListParagraph"/>
        <w:numPr>
          <w:ilvl w:val="0"/>
          <w:numId w:val="16"/>
        </w:numPr>
        <w:rPr>
          <w:rStyle w:val="Style3"/>
          <w:rFonts w:cs="Arial"/>
        </w:rPr>
      </w:pPr>
      <w:r w:rsidRPr="007C6FC6">
        <w:rPr>
          <w:rStyle w:val="Style3"/>
          <w:rFonts w:cs="Arial"/>
        </w:rPr>
        <w:t>on 30 June 2024 in non-remote areas</w:t>
      </w:r>
    </w:p>
    <w:p w14:paraId="58592117" w14:textId="5301E2A2" w:rsidR="00847590" w:rsidRPr="008F4AB9" w:rsidRDefault="00EB575E" w:rsidP="0036436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C6FC6">
        <w:rPr>
          <w:rStyle w:val="Style3"/>
          <w:rFonts w:cs="Arial"/>
        </w:rPr>
        <w:t>on 30 June 2025 in remote areas.</w:t>
      </w:r>
    </w:p>
    <w:sectPr w:rsidR="00847590" w:rsidRPr="008F4AB9" w:rsidSect="001D023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499C" w14:textId="77777777" w:rsidR="001D0235" w:rsidRDefault="001D0235">
      <w:r>
        <w:separator/>
      </w:r>
    </w:p>
  </w:endnote>
  <w:endnote w:type="continuationSeparator" w:id="0">
    <w:p w14:paraId="6390847D" w14:textId="77777777" w:rsidR="001D0235" w:rsidRDefault="001D0235">
      <w:r>
        <w:continuationSeparator/>
      </w:r>
    </w:p>
  </w:endnote>
  <w:endnote w:type="continuationNotice" w:id="1">
    <w:p w14:paraId="0195F709" w14:textId="77777777" w:rsidR="001D0235" w:rsidRDefault="001D0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BE76" w14:textId="28B54D5C" w:rsidR="00F237B2" w:rsidRDefault="00813D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E658003" wp14:editId="4FF44A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809774283" name="Text Box 1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4C3B2" w14:textId="54148477" w:rsidR="00813D2F" w:rsidRPr="00813D2F" w:rsidRDefault="00813D2F" w:rsidP="00813D2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813D2F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5800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PROTECTED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744C3B2" w14:textId="54148477" w:rsidR="00813D2F" w:rsidRPr="00813D2F" w:rsidRDefault="00813D2F" w:rsidP="00813D2F">
                    <w:pPr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813D2F">
                      <w:rPr>
                        <w:rFonts w:ascii="Arial" w:eastAsia="Arial" w:hAnsi="Arial" w:cs="Arial"/>
                        <w:noProof/>
                        <w:color w:val="FF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743B4382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C65155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C65155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</w:t>
    </w:r>
    <w:r w:rsidR="009635D0" w:rsidRPr="00F237B2">
      <w:rPr>
        <w:rFonts w:ascii="Arial" w:hAnsi="Arial" w:cs="Arial"/>
        <w:color w:val="777777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49611B16" w:rsidR="00FF2C3C" w:rsidRDefault="00813D2F" w:rsidP="00FF2C3C">
    <w:pPr>
      <w:pStyle w:val="Footer"/>
    </w:pPr>
    <w:r>
      <w:rPr>
        <w:rFonts w:ascii="Arial" w:hAnsi="Arial" w:cs="Arial"/>
        <w:noProof/>
        <w:color w:val="777777"/>
        <w:sz w:val="18"/>
        <w:szCs w:val="18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23BECCC" wp14:editId="27F09E14">
              <wp:simplePos x="720762" y="1006377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140179757" name="Text Box 10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B66E5" w14:textId="79413F0D" w:rsidR="00813D2F" w:rsidRPr="00813D2F" w:rsidRDefault="00813D2F" w:rsidP="00813D2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BECC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PROTECTED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5B66E5" w14:textId="79413F0D" w:rsidR="00813D2F" w:rsidRPr="00813D2F" w:rsidRDefault="00813D2F" w:rsidP="00813D2F">
                    <w:pPr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F2C3C" w:rsidRPr="00F237B2">
      <w:rPr>
        <w:rFonts w:ascii="Arial" w:hAnsi="Arial" w:cs="Arial"/>
        <w:color w:val="777777"/>
        <w:sz w:val="18"/>
        <w:szCs w:val="18"/>
      </w:rPr>
      <w:t xml:space="preserve">PAGE </w:t>
    </w:r>
    <w:r w:rsidR="00FF2C3C" w:rsidRPr="00F237B2">
      <w:rPr>
        <w:rFonts w:ascii="Arial" w:hAnsi="Arial" w:cs="Arial"/>
        <w:color w:val="777777"/>
        <w:sz w:val="18"/>
        <w:szCs w:val="18"/>
      </w:rPr>
      <w:fldChar w:fldCharType="begin"/>
    </w:r>
    <w:r w:rsidR="00FF2C3C"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="00FF2C3C"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C65155">
      <w:rPr>
        <w:rFonts w:ascii="Arial" w:hAnsi="Arial" w:cs="Arial"/>
        <w:noProof/>
        <w:color w:val="777777"/>
        <w:sz w:val="18"/>
        <w:szCs w:val="18"/>
      </w:rPr>
      <w:t>1</w:t>
    </w:r>
    <w:r w:rsidR="00FF2C3C" w:rsidRPr="00F237B2">
      <w:rPr>
        <w:rFonts w:ascii="Arial" w:hAnsi="Arial" w:cs="Arial"/>
        <w:color w:val="777777"/>
        <w:sz w:val="18"/>
        <w:szCs w:val="18"/>
      </w:rPr>
      <w:fldChar w:fldCharType="end"/>
    </w:r>
    <w:r w:rsidR="00FF2C3C" w:rsidRPr="00F237B2">
      <w:rPr>
        <w:rFonts w:ascii="Arial" w:hAnsi="Arial" w:cs="Arial"/>
        <w:color w:val="777777"/>
        <w:sz w:val="18"/>
        <w:szCs w:val="18"/>
      </w:rPr>
      <w:t xml:space="preserve"> OF </w:t>
    </w:r>
    <w:r w:rsidR="00FF2C3C" w:rsidRPr="00F237B2">
      <w:rPr>
        <w:rFonts w:ascii="Arial" w:hAnsi="Arial" w:cs="Arial"/>
        <w:color w:val="777777"/>
        <w:sz w:val="18"/>
        <w:szCs w:val="18"/>
      </w:rPr>
      <w:fldChar w:fldCharType="begin"/>
    </w:r>
    <w:r w:rsidR="00FF2C3C"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="00FF2C3C"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C65155">
      <w:rPr>
        <w:rFonts w:ascii="Arial" w:hAnsi="Arial" w:cs="Arial"/>
        <w:noProof/>
        <w:color w:val="777777"/>
        <w:sz w:val="18"/>
        <w:szCs w:val="18"/>
      </w:rPr>
      <w:t>2</w:t>
    </w:r>
    <w:r w:rsidR="00FF2C3C" w:rsidRPr="00F237B2">
      <w:rPr>
        <w:rFonts w:ascii="Arial" w:hAnsi="Arial" w:cs="Arial"/>
        <w:color w:val="777777"/>
        <w:sz w:val="18"/>
        <w:szCs w:val="18"/>
      </w:rPr>
      <w:fldChar w:fldCharType="end"/>
    </w:r>
    <w:r w:rsidR="00FF2C3C">
      <w:rPr>
        <w:rFonts w:ascii="Arial" w:hAnsi="Arial" w:cs="Arial"/>
        <w:color w:val="999999"/>
        <w:sz w:val="18"/>
        <w:szCs w:val="18"/>
      </w:rPr>
      <w:tab/>
    </w:r>
    <w:r w:rsidR="00FF2C3C">
      <w:rPr>
        <w:rFonts w:ascii="Arial" w:hAnsi="Arial" w:cs="Arial"/>
        <w:color w:val="999999"/>
        <w:sz w:val="18"/>
        <w:szCs w:val="18"/>
      </w:rPr>
      <w:tab/>
    </w:r>
    <w:r w:rsidR="00FF2C3C" w:rsidRPr="00F237B2">
      <w:rPr>
        <w:rFonts w:ascii="Arial" w:hAnsi="Arial" w:cs="Arial"/>
        <w:color w:val="777777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630E" w14:textId="77777777" w:rsidR="001D0235" w:rsidRDefault="001D0235">
      <w:r>
        <w:separator/>
      </w:r>
    </w:p>
  </w:footnote>
  <w:footnote w:type="continuationSeparator" w:id="0">
    <w:p w14:paraId="5F2D5751" w14:textId="77777777" w:rsidR="001D0235" w:rsidRDefault="001D0235">
      <w:r>
        <w:continuationSeparator/>
      </w:r>
    </w:p>
  </w:footnote>
  <w:footnote w:type="continuationNotice" w:id="1">
    <w:p w14:paraId="46B26D2F" w14:textId="77777777" w:rsidR="001D0235" w:rsidRDefault="001D0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5659" w14:textId="739F9402" w:rsidR="00F237B2" w:rsidRDefault="00813D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BFE0DB5" wp14:editId="7E3210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2014100003" name="Text Box 8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DC471" w14:textId="5DB607AE" w:rsidR="00813D2F" w:rsidRPr="00813D2F" w:rsidRDefault="00813D2F" w:rsidP="00813D2F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813D2F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E0DB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PROTECT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48DC471" w14:textId="5DB607AE" w:rsidR="00813D2F" w:rsidRPr="00813D2F" w:rsidRDefault="00813D2F" w:rsidP="00813D2F">
                    <w:pPr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813D2F">
                      <w:rPr>
                        <w:rFonts w:ascii="Arial" w:eastAsia="Arial" w:hAnsi="Arial" w:cs="Arial"/>
                        <w:noProof/>
                        <w:color w:val="FF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2086BA7E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6BAD3914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428F"/>
    <w:multiLevelType w:val="hybridMultilevel"/>
    <w:tmpl w:val="65422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50BC6"/>
    <w:multiLevelType w:val="hybridMultilevel"/>
    <w:tmpl w:val="C3B6C8C2"/>
    <w:lvl w:ilvl="0" w:tplc="102E03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324613">
    <w:abstractNumId w:val="16"/>
  </w:num>
  <w:num w:numId="2" w16cid:durableId="1133904830">
    <w:abstractNumId w:val="1"/>
  </w:num>
  <w:num w:numId="3" w16cid:durableId="332493913">
    <w:abstractNumId w:val="14"/>
  </w:num>
  <w:num w:numId="4" w16cid:durableId="491797449">
    <w:abstractNumId w:val="2"/>
  </w:num>
  <w:num w:numId="5" w16cid:durableId="1558516097">
    <w:abstractNumId w:val="12"/>
  </w:num>
  <w:num w:numId="6" w16cid:durableId="783187747">
    <w:abstractNumId w:val="5"/>
  </w:num>
  <w:num w:numId="7" w16cid:durableId="348987575">
    <w:abstractNumId w:val="11"/>
  </w:num>
  <w:num w:numId="8" w16cid:durableId="933436580">
    <w:abstractNumId w:val="15"/>
  </w:num>
  <w:num w:numId="9" w16cid:durableId="1206599125">
    <w:abstractNumId w:val="8"/>
  </w:num>
  <w:num w:numId="10" w16cid:durableId="448865663">
    <w:abstractNumId w:val="9"/>
  </w:num>
  <w:num w:numId="11" w16cid:durableId="1003973587">
    <w:abstractNumId w:val="0"/>
  </w:num>
  <w:num w:numId="12" w16cid:durableId="745222635">
    <w:abstractNumId w:val="10"/>
  </w:num>
  <w:num w:numId="13" w16cid:durableId="753670669">
    <w:abstractNumId w:val="3"/>
  </w:num>
  <w:num w:numId="14" w16cid:durableId="1238514715">
    <w:abstractNumId w:val="7"/>
  </w:num>
  <w:num w:numId="15" w16cid:durableId="1824470759">
    <w:abstractNumId w:val="6"/>
  </w:num>
  <w:num w:numId="16" w16cid:durableId="879165932">
    <w:abstractNumId w:val="13"/>
  </w:num>
  <w:num w:numId="17" w16cid:durableId="750851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02ED2"/>
    <w:rsid w:val="00026916"/>
    <w:rsid w:val="00041A39"/>
    <w:rsid w:val="00046591"/>
    <w:rsid w:val="00050809"/>
    <w:rsid w:val="00062997"/>
    <w:rsid w:val="00081069"/>
    <w:rsid w:val="00082A25"/>
    <w:rsid w:val="000866B7"/>
    <w:rsid w:val="00086EA1"/>
    <w:rsid w:val="000A0B73"/>
    <w:rsid w:val="000B6BAF"/>
    <w:rsid w:val="000C49E9"/>
    <w:rsid w:val="000C6306"/>
    <w:rsid w:val="000C6C57"/>
    <w:rsid w:val="000D0E18"/>
    <w:rsid w:val="000D6870"/>
    <w:rsid w:val="000E5C88"/>
    <w:rsid w:val="000F3CB8"/>
    <w:rsid w:val="000F5DD0"/>
    <w:rsid w:val="000F770A"/>
    <w:rsid w:val="00112F82"/>
    <w:rsid w:val="001172E7"/>
    <w:rsid w:val="001240E8"/>
    <w:rsid w:val="0013636B"/>
    <w:rsid w:val="001453AD"/>
    <w:rsid w:val="00145B76"/>
    <w:rsid w:val="001573A2"/>
    <w:rsid w:val="00183D7B"/>
    <w:rsid w:val="00190BC7"/>
    <w:rsid w:val="00193F2E"/>
    <w:rsid w:val="001A103D"/>
    <w:rsid w:val="001A1B66"/>
    <w:rsid w:val="001A214B"/>
    <w:rsid w:val="001A3074"/>
    <w:rsid w:val="001A4EB0"/>
    <w:rsid w:val="001A5F11"/>
    <w:rsid w:val="001A72CB"/>
    <w:rsid w:val="001B379E"/>
    <w:rsid w:val="001D0235"/>
    <w:rsid w:val="001D1F61"/>
    <w:rsid w:val="001D4174"/>
    <w:rsid w:val="001D6A6B"/>
    <w:rsid w:val="001E6CFA"/>
    <w:rsid w:val="001F35EB"/>
    <w:rsid w:val="001F7324"/>
    <w:rsid w:val="002104E0"/>
    <w:rsid w:val="002156AC"/>
    <w:rsid w:val="00244CA1"/>
    <w:rsid w:val="002502BE"/>
    <w:rsid w:val="002560EB"/>
    <w:rsid w:val="00257746"/>
    <w:rsid w:val="00266B25"/>
    <w:rsid w:val="00274FFD"/>
    <w:rsid w:val="00277C02"/>
    <w:rsid w:val="00281861"/>
    <w:rsid w:val="00284ADE"/>
    <w:rsid w:val="00290FA5"/>
    <w:rsid w:val="00296D19"/>
    <w:rsid w:val="002A21C5"/>
    <w:rsid w:val="002B42EB"/>
    <w:rsid w:val="002C19E4"/>
    <w:rsid w:val="002C78D8"/>
    <w:rsid w:val="002E2C79"/>
    <w:rsid w:val="002E6283"/>
    <w:rsid w:val="00300015"/>
    <w:rsid w:val="00306F69"/>
    <w:rsid w:val="003100BB"/>
    <w:rsid w:val="00316C5E"/>
    <w:rsid w:val="0033369C"/>
    <w:rsid w:val="00335B00"/>
    <w:rsid w:val="00360888"/>
    <w:rsid w:val="00361F19"/>
    <w:rsid w:val="0036350A"/>
    <w:rsid w:val="00364300"/>
    <w:rsid w:val="0036436D"/>
    <w:rsid w:val="00365BFD"/>
    <w:rsid w:val="0038253F"/>
    <w:rsid w:val="00390DD4"/>
    <w:rsid w:val="003A012C"/>
    <w:rsid w:val="003A53A0"/>
    <w:rsid w:val="003B453F"/>
    <w:rsid w:val="003B7DCB"/>
    <w:rsid w:val="003C673A"/>
    <w:rsid w:val="003D0E77"/>
    <w:rsid w:val="003D3F47"/>
    <w:rsid w:val="003F3F96"/>
    <w:rsid w:val="003F72E8"/>
    <w:rsid w:val="00405768"/>
    <w:rsid w:val="0040677C"/>
    <w:rsid w:val="00414BF8"/>
    <w:rsid w:val="004203AA"/>
    <w:rsid w:val="004226F5"/>
    <w:rsid w:val="00426CFE"/>
    <w:rsid w:val="00432428"/>
    <w:rsid w:val="004623FE"/>
    <w:rsid w:val="004714E9"/>
    <w:rsid w:val="004725C5"/>
    <w:rsid w:val="00476BB7"/>
    <w:rsid w:val="004833F2"/>
    <w:rsid w:val="00484CEA"/>
    <w:rsid w:val="004A1F59"/>
    <w:rsid w:val="004A2C08"/>
    <w:rsid w:val="004A3217"/>
    <w:rsid w:val="004B6F21"/>
    <w:rsid w:val="004C60C9"/>
    <w:rsid w:val="004C77D7"/>
    <w:rsid w:val="004E0DA8"/>
    <w:rsid w:val="004F095C"/>
    <w:rsid w:val="004F68C2"/>
    <w:rsid w:val="00504497"/>
    <w:rsid w:val="00504AA8"/>
    <w:rsid w:val="00507EB2"/>
    <w:rsid w:val="00510D3F"/>
    <w:rsid w:val="005168F6"/>
    <w:rsid w:val="00516D40"/>
    <w:rsid w:val="00571396"/>
    <w:rsid w:val="00571BB0"/>
    <w:rsid w:val="00571C3F"/>
    <w:rsid w:val="00573C0E"/>
    <w:rsid w:val="005A5ACD"/>
    <w:rsid w:val="005A5EDA"/>
    <w:rsid w:val="005C5E3D"/>
    <w:rsid w:val="005C738D"/>
    <w:rsid w:val="005C7D3C"/>
    <w:rsid w:val="005E678B"/>
    <w:rsid w:val="00620E30"/>
    <w:rsid w:val="00622896"/>
    <w:rsid w:val="006248E0"/>
    <w:rsid w:val="00632BBE"/>
    <w:rsid w:val="0063345A"/>
    <w:rsid w:val="006371D7"/>
    <w:rsid w:val="0063720C"/>
    <w:rsid w:val="00640F2C"/>
    <w:rsid w:val="0067371F"/>
    <w:rsid w:val="0067669C"/>
    <w:rsid w:val="006825DB"/>
    <w:rsid w:val="00685C7C"/>
    <w:rsid w:val="006964A3"/>
    <w:rsid w:val="006A317C"/>
    <w:rsid w:val="006A746D"/>
    <w:rsid w:val="006A7861"/>
    <w:rsid w:val="006B16FB"/>
    <w:rsid w:val="006B396F"/>
    <w:rsid w:val="006F3C21"/>
    <w:rsid w:val="006F73BD"/>
    <w:rsid w:val="00711EA6"/>
    <w:rsid w:val="00715039"/>
    <w:rsid w:val="00722887"/>
    <w:rsid w:val="00730A3D"/>
    <w:rsid w:val="00746A31"/>
    <w:rsid w:val="00756927"/>
    <w:rsid w:val="00772C06"/>
    <w:rsid w:val="00795EE3"/>
    <w:rsid w:val="007B4F51"/>
    <w:rsid w:val="007C6FC6"/>
    <w:rsid w:val="007D3434"/>
    <w:rsid w:val="007E1864"/>
    <w:rsid w:val="00801D1A"/>
    <w:rsid w:val="00813D2F"/>
    <w:rsid w:val="008457BC"/>
    <w:rsid w:val="00847590"/>
    <w:rsid w:val="00850873"/>
    <w:rsid w:val="00850DF2"/>
    <w:rsid w:val="00851251"/>
    <w:rsid w:val="00863A82"/>
    <w:rsid w:val="0086632C"/>
    <w:rsid w:val="00873080"/>
    <w:rsid w:val="0087534C"/>
    <w:rsid w:val="008968B7"/>
    <w:rsid w:val="00896FCE"/>
    <w:rsid w:val="008E40BD"/>
    <w:rsid w:val="008E4E63"/>
    <w:rsid w:val="008E61D0"/>
    <w:rsid w:val="008F235D"/>
    <w:rsid w:val="008F4AB9"/>
    <w:rsid w:val="009009BC"/>
    <w:rsid w:val="0090591C"/>
    <w:rsid w:val="00907D7A"/>
    <w:rsid w:val="00915568"/>
    <w:rsid w:val="009174A0"/>
    <w:rsid w:val="00923854"/>
    <w:rsid w:val="00932AA3"/>
    <w:rsid w:val="009434C2"/>
    <w:rsid w:val="00956CC5"/>
    <w:rsid w:val="009635D0"/>
    <w:rsid w:val="00965631"/>
    <w:rsid w:val="0097065D"/>
    <w:rsid w:val="00983BBD"/>
    <w:rsid w:val="009905A7"/>
    <w:rsid w:val="0099445E"/>
    <w:rsid w:val="00994F97"/>
    <w:rsid w:val="00995023"/>
    <w:rsid w:val="009A099C"/>
    <w:rsid w:val="009D371D"/>
    <w:rsid w:val="009E1E1B"/>
    <w:rsid w:val="009E3B3A"/>
    <w:rsid w:val="009F4CD3"/>
    <w:rsid w:val="00A163B5"/>
    <w:rsid w:val="00A16C8F"/>
    <w:rsid w:val="00A34252"/>
    <w:rsid w:val="00A3536B"/>
    <w:rsid w:val="00A52AE3"/>
    <w:rsid w:val="00A530A5"/>
    <w:rsid w:val="00A568A9"/>
    <w:rsid w:val="00A63082"/>
    <w:rsid w:val="00A7753C"/>
    <w:rsid w:val="00A82C12"/>
    <w:rsid w:val="00A848C2"/>
    <w:rsid w:val="00AA48F5"/>
    <w:rsid w:val="00AA6001"/>
    <w:rsid w:val="00AA67F4"/>
    <w:rsid w:val="00AC34FD"/>
    <w:rsid w:val="00AC7892"/>
    <w:rsid w:val="00AE0688"/>
    <w:rsid w:val="00AF4424"/>
    <w:rsid w:val="00B13CCE"/>
    <w:rsid w:val="00B26D06"/>
    <w:rsid w:val="00B27C58"/>
    <w:rsid w:val="00B32B9E"/>
    <w:rsid w:val="00B362B6"/>
    <w:rsid w:val="00B37067"/>
    <w:rsid w:val="00B41E94"/>
    <w:rsid w:val="00B46C32"/>
    <w:rsid w:val="00B55601"/>
    <w:rsid w:val="00B573A3"/>
    <w:rsid w:val="00B626D6"/>
    <w:rsid w:val="00B73019"/>
    <w:rsid w:val="00B84935"/>
    <w:rsid w:val="00B86E2B"/>
    <w:rsid w:val="00B87453"/>
    <w:rsid w:val="00B9008C"/>
    <w:rsid w:val="00BA77DE"/>
    <w:rsid w:val="00BB4D6C"/>
    <w:rsid w:val="00BB7DE5"/>
    <w:rsid w:val="00BC6275"/>
    <w:rsid w:val="00BE0EB8"/>
    <w:rsid w:val="00C021DC"/>
    <w:rsid w:val="00C025D8"/>
    <w:rsid w:val="00C15DA5"/>
    <w:rsid w:val="00C207C1"/>
    <w:rsid w:val="00C27EAD"/>
    <w:rsid w:val="00C46EFA"/>
    <w:rsid w:val="00C60743"/>
    <w:rsid w:val="00C65155"/>
    <w:rsid w:val="00C74B43"/>
    <w:rsid w:val="00C81922"/>
    <w:rsid w:val="00C87853"/>
    <w:rsid w:val="00CA016F"/>
    <w:rsid w:val="00CB4F98"/>
    <w:rsid w:val="00CC24BE"/>
    <w:rsid w:val="00CC50CC"/>
    <w:rsid w:val="00CE56A0"/>
    <w:rsid w:val="00D13062"/>
    <w:rsid w:val="00D14B82"/>
    <w:rsid w:val="00D15B45"/>
    <w:rsid w:val="00D220CD"/>
    <w:rsid w:val="00D358B7"/>
    <w:rsid w:val="00D40D45"/>
    <w:rsid w:val="00D4547E"/>
    <w:rsid w:val="00D52C59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E00CD8"/>
    <w:rsid w:val="00E076AE"/>
    <w:rsid w:val="00E277F4"/>
    <w:rsid w:val="00E31B70"/>
    <w:rsid w:val="00E33470"/>
    <w:rsid w:val="00E409B0"/>
    <w:rsid w:val="00E4177E"/>
    <w:rsid w:val="00E4594F"/>
    <w:rsid w:val="00E45BAD"/>
    <w:rsid w:val="00E5725A"/>
    <w:rsid w:val="00E63EC2"/>
    <w:rsid w:val="00E7544C"/>
    <w:rsid w:val="00E768D0"/>
    <w:rsid w:val="00E76D5A"/>
    <w:rsid w:val="00E9176F"/>
    <w:rsid w:val="00EA2350"/>
    <w:rsid w:val="00EA76D0"/>
    <w:rsid w:val="00EA7A22"/>
    <w:rsid w:val="00EB20C6"/>
    <w:rsid w:val="00EB575E"/>
    <w:rsid w:val="00EC3E4A"/>
    <w:rsid w:val="00EE06F6"/>
    <w:rsid w:val="00EE1ACE"/>
    <w:rsid w:val="00EE3E1E"/>
    <w:rsid w:val="00EE78F0"/>
    <w:rsid w:val="00EF7943"/>
    <w:rsid w:val="00F14553"/>
    <w:rsid w:val="00F17318"/>
    <w:rsid w:val="00F237B2"/>
    <w:rsid w:val="00F34E10"/>
    <w:rsid w:val="00F55058"/>
    <w:rsid w:val="00F70B0F"/>
    <w:rsid w:val="00F722A5"/>
    <w:rsid w:val="00F8091B"/>
    <w:rsid w:val="00F85641"/>
    <w:rsid w:val="00F85C8F"/>
    <w:rsid w:val="00FA7748"/>
    <w:rsid w:val="00FA7AC7"/>
    <w:rsid w:val="00FC3645"/>
    <w:rsid w:val="00FF2C3C"/>
    <w:rsid w:val="0894BE62"/>
    <w:rsid w:val="11A7713B"/>
    <w:rsid w:val="1278CF68"/>
    <w:rsid w:val="1B921B80"/>
    <w:rsid w:val="1DDDE6D5"/>
    <w:rsid w:val="1E91B725"/>
    <w:rsid w:val="240EAC75"/>
    <w:rsid w:val="24435569"/>
    <w:rsid w:val="25D75DB0"/>
    <w:rsid w:val="27A8AB22"/>
    <w:rsid w:val="28F1D592"/>
    <w:rsid w:val="29447B83"/>
    <w:rsid w:val="30D5E3B1"/>
    <w:rsid w:val="33265CCF"/>
    <w:rsid w:val="33A144E4"/>
    <w:rsid w:val="35627B33"/>
    <w:rsid w:val="3D6B19AC"/>
    <w:rsid w:val="3F06EA0D"/>
    <w:rsid w:val="45BEB75A"/>
    <w:rsid w:val="4719A912"/>
    <w:rsid w:val="555A4BB0"/>
    <w:rsid w:val="55829C68"/>
    <w:rsid w:val="5A2C6499"/>
    <w:rsid w:val="620162F0"/>
    <w:rsid w:val="639D3351"/>
    <w:rsid w:val="6A4D420D"/>
    <w:rsid w:val="75E4CB23"/>
    <w:rsid w:val="7C2E9709"/>
    <w:rsid w:val="7FC1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E1E"/>
    <w:rPr>
      <w:color w:val="605E5C"/>
      <w:shd w:val="clear" w:color="auto" w:fill="E1DFDD"/>
    </w:rPr>
  </w:style>
  <w:style w:type="character" w:customStyle="1" w:styleId="StyleArial10pt">
    <w:name w:val="Style Arial 10 pt"/>
    <w:basedOn w:val="DefaultParagraphFont"/>
    <w:uiPriority w:val="99"/>
    <w:rsid w:val="00F14553"/>
    <w:rPr>
      <w:rFonts w:ascii="Arial" w:hAnsi="Arial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D11F-390F-4C30-8AE2-6E0C8C0B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prison to employment program</dc:title>
  <dc:subject/>
  <dc:creator>Services Australia</dc:creator>
  <cp:keywords>Budget 2024-25</cp:keywords>
  <dc:description/>
  <cp:lastModifiedBy/>
  <cp:revision>1</cp:revision>
  <dcterms:created xsi:type="dcterms:W3CDTF">2024-05-14T07:49:00Z</dcterms:created>
  <dcterms:modified xsi:type="dcterms:W3CDTF">2024-05-14T07:49:00Z</dcterms:modified>
</cp:coreProperties>
</file>