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0FB11007" w14:textId="0419C043" w:rsidR="00EF6DED" w:rsidRDefault="00A82C12" w:rsidP="00571BB0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74E8FB68" w14:textId="19DE0718" w:rsidR="00EF6DED" w:rsidRPr="003E5765" w:rsidRDefault="00912418" w:rsidP="00353EE5">
      <w:pPr>
        <w:pStyle w:val="DHSBodytext"/>
        <w:rPr>
          <w:bCs/>
          <w:iCs/>
          <w:color w:val="000000"/>
          <w:sz w:val="36"/>
          <w:szCs w:val="28"/>
        </w:rPr>
      </w:pPr>
      <w:r w:rsidRPr="00912418">
        <w:rPr>
          <w:bCs/>
          <w:iCs/>
          <w:color w:val="000000"/>
          <w:sz w:val="36"/>
          <w:szCs w:val="28"/>
        </w:rPr>
        <w:t>Support to Individuals from Israel and Occupied Palestinian Territories affected by the Hamas</w:t>
      </w:r>
      <w:r w:rsidRPr="00912418">
        <w:rPr>
          <w:rFonts w:ascii="Cambria Math" w:hAnsi="Cambria Math" w:cs="Cambria Math"/>
          <w:bCs/>
          <w:iCs/>
          <w:color w:val="000000"/>
          <w:sz w:val="36"/>
          <w:szCs w:val="28"/>
        </w:rPr>
        <w:t>‑</w:t>
      </w:r>
      <w:r w:rsidRPr="00912418">
        <w:rPr>
          <w:bCs/>
          <w:iCs/>
          <w:color w:val="000000"/>
          <w:sz w:val="36"/>
          <w:szCs w:val="28"/>
        </w:rPr>
        <w:t xml:space="preserve">Israel </w:t>
      </w:r>
      <w:proofErr w:type="gramStart"/>
      <w:r w:rsidRPr="00912418">
        <w:rPr>
          <w:bCs/>
          <w:iCs/>
          <w:color w:val="000000"/>
          <w:sz w:val="36"/>
          <w:szCs w:val="28"/>
        </w:rPr>
        <w:t>conflict</w:t>
      </w:r>
      <w:proofErr w:type="gramEnd"/>
    </w:p>
    <w:p w14:paraId="3B329BAA" w14:textId="4AAA0F37" w:rsidR="004A07B1" w:rsidRDefault="00F42F02" w:rsidP="000B6BAF">
      <w:pPr>
        <w:rPr>
          <w:rStyle w:val="Style3"/>
          <w:rFonts w:cs="Arial"/>
        </w:rPr>
      </w:pPr>
      <w:r w:rsidRPr="00242C05">
        <w:rPr>
          <w:rStyle w:val="Style3"/>
          <w:rFonts w:cs="Arial"/>
        </w:rPr>
        <w:t xml:space="preserve">This measure </w:t>
      </w:r>
      <w:r w:rsidR="0074745D" w:rsidRPr="00242C05">
        <w:rPr>
          <w:rStyle w:val="Style3"/>
          <w:rFonts w:cs="Arial"/>
        </w:rPr>
        <w:t>will exten</w:t>
      </w:r>
      <w:r w:rsidR="004F1165" w:rsidRPr="00242C05">
        <w:rPr>
          <w:rStyle w:val="Style3"/>
          <w:rFonts w:cs="Arial"/>
        </w:rPr>
        <w:t>d</w:t>
      </w:r>
      <w:r w:rsidR="0074745D" w:rsidRPr="00242C05">
        <w:rPr>
          <w:rStyle w:val="Style3"/>
          <w:rFonts w:cs="Arial"/>
        </w:rPr>
        <w:t xml:space="preserve"> Medicare eligibility to </w:t>
      </w:r>
      <w:r w:rsidR="00E0452E" w:rsidRPr="00242C05">
        <w:rPr>
          <w:rStyle w:val="Style3"/>
          <w:rFonts w:cs="Arial"/>
        </w:rPr>
        <w:t>people</w:t>
      </w:r>
      <w:r w:rsidR="004A07B1">
        <w:rPr>
          <w:rStyle w:val="Style3"/>
          <w:rFonts w:cs="Arial"/>
        </w:rPr>
        <w:t>:</w:t>
      </w:r>
    </w:p>
    <w:p w14:paraId="321B2709" w14:textId="70361A62" w:rsidR="004A07B1" w:rsidRPr="007D4E00" w:rsidRDefault="00E0452E" w:rsidP="004A07B1">
      <w:pPr>
        <w:pStyle w:val="ListParagraph"/>
        <w:numPr>
          <w:ilvl w:val="0"/>
          <w:numId w:val="17"/>
        </w:numPr>
        <w:rPr>
          <w:rStyle w:val="Style3"/>
          <w:b/>
        </w:rPr>
      </w:pPr>
      <w:r w:rsidRPr="004A07B1">
        <w:rPr>
          <w:rStyle w:val="Style3"/>
          <w:rFonts w:cs="Arial"/>
        </w:rPr>
        <w:t xml:space="preserve">from significantly affected areas of </w:t>
      </w:r>
      <w:r w:rsidR="0074745D" w:rsidRPr="004A07B1">
        <w:rPr>
          <w:rStyle w:val="Style3"/>
          <w:rFonts w:cs="Arial"/>
        </w:rPr>
        <w:t>Israel and the Occupied Palestinian Territories</w:t>
      </w:r>
      <w:r w:rsidR="00B27735" w:rsidRPr="004A07B1">
        <w:rPr>
          <w:rStyle w:val="Style3"/>
          <w:rFonts w:cs="Arial"/>
        </w:rPr>
        <w:t xml:space="preserve"> (OPT</w:t>
      </w:r>
      <w:r w:rsidR="002E49E5" w:rsidRPr="004A07B1">
        <w:rPr>
          <w:rStyle w:val="Style3"/>
          <w:rFonts w:cs="Arial"/>
        </w:rPr>
        <w:t>)</w:t>
      </w:r>
    </w:p>
    <w:p w14:paraId="0B4F3777" w14:textId="04B9D9CB" w:rsidR="00D709CD" w:rsidRPr="003E5765" w:rsidRDefault="00E0452E" w:rsidP="003E5765">
      <w:pPr>
        <w:pStyle w:val="ListParagraph"/>
        <w:numPr>
          <w:ilvl w:val="0"/>
          <w:numId w:val="17"/>
        </w:numPr>
        <w:rPr>
          <w:rStyle w:val="Style3"/>
          <w:b/>
        </w:rPr>
      </w:pPr>
      <w:r w:rsidRPr="004A07B1">
        <w:rPr>
          <w:rStyle w:val="Style3"/>
          <w:rFonts w:cs="Arial"/>
        </w:rPr>
        <w:t xml:space="preserve">who have been granted </w:t>
      </w:r>
      <w:r w:rsidRPr="00242C05">
        <w:rPr>
          <w:rStyle w:val="Style3"/>
        </w:rPr>
        <w:t xml:space="preserve">a Bridging Visa E (BVE) with work </w:t>
      </w:r>
      <w:r w:rsidRPr="004A07B1">
        <w:rPr>
          <w:rStyle w:val="Style3"/>
          <w:rFonts w:cs="Arial"/>
        </w:rPr>
        <w:t xml:space="preserve">rights </w:t>
      </w:r>
      <w:r w:rsidRPr="00242C05">
        <w:rPr>
          <w:rStyle w:val="Style3"/>
        </w:rPr>
        <w:t>by the Department of Home Affairs.</w:t>
      </w:r>
    </w:p>
    <w:p w14:paraId="31F2E675" w14:textId="1D6ACF30" w:rsidR="003E5765" w:rsidRPr="003E5765" w:rsidRDefault="003E5765" w:rsidP="003E5765">
      <w:pPr>
        <w:rPr>
          <w:rStyle w:val="Style3"/>
          <w:b/>
        </w:rPr>
      </w:pPr>
    </w:p>
    <w:p w14:paraId="4055F6B6" w14:textId="56B55F9B" w:rsidR="00E0452E" w:rsidRPr="007D4E00" w:rsidRDefault="00623BD5">
      <w:pPr>
        <w:rPr>
          <w:rStyle w:val="Style3"/>
          <w:b/>
        </w:rPr>
      </w:pPr>
      <w:r>
        <w:rPr>
          <w:rStyle w:val="Style3"/>
        </w:rPr>
        <w:t xml:space="preserve">This </w:t>
      </w:r>
      <w:r w:rsidRPr="004A07B1">
        <w:rPr>
          <w:rStyle w:val="Style3"/>
          <w:rFonts w:cs="Arial"/>
        </w:rPr>
        <w:t xml:space="preserve">includes </w:t>
      </w:r>
      <w:r w:rsidRPr="00242C05">
        <w:rPr>
          <w:rStyle w:val="Style3"/>
        </w:rPr>
        <w:t>their immediate</w:t>
      </w:r>
      <w:r>
        <w:rPr>
          <w:rStyle w:val="Style3"/>
        </w:rPr>
        <w:t xml:space="preserve"> family members on a BVE.</w:t>
      </w:r>
    </w:p>
    <w:p w14:paraId="7036FF08" w14:textId="50631CAD" w:rsidR="0042202B" w:rsidRPr="00242C05" w:rsidRDefault="0042202B" w:rsidP="0042202B">
      <w:pPr>
        <w:pStyle w:val="NormalWeb"/>
        <w:shd w:val="clear" w:color="auto" w:fill="FAFAFA"/>
        <w:rPr>
          <w:rStyle w:val="Style3"/>
        </w:rPr>
      </w:pPr>
      <w:r w:rsidRPr="00242C05">
        <w:rPr>
          <w:rStyle w:val="Style3"/>
        </w:rPr>
        <w:t xml:space="preserve">A new Ministerial Order will be created under subsection 6(1) of </w:t>
      </w:r>
      <w:r w:rsidRPr="00DF2435">
        <w:rPr>
          <w:rStyle w:val="Style3"/>
          <w:i/>
          <w:iCs/>
        </w:rPr>
        <w:t>the Health Insurance Act 1973</w:t>
      </w:r>
      <w:r w:rsidRPr="00242C05">
        <w:rPr>
          <w:rStyle w:val="Style3"/>
        </w:rPr>
        <w:t xml:space="preserve"> by the Minister for Health and Aged Care. The order will apply retrospectively from 31</w:t>
      </w:r>
      <w:r w:rsidR="003E5765">
        <w:rPr>
          <w:rStyle w:val="Style3"/>
        </w:rPr>
        <w:t xml:space="preserve"> </w:t>
      </w:r>
      <w:r w:rsidRPr="00242C05">
        <w:rPr>
          <w:rStyle w:val="Style3"/>
        </w:rPr>
        <w:t>January 2024.</w:t>
      </w:r>
    </w:p>
    <w:p w14:paraId="18914E62" w14:textId="77126A36" w:rsidR="009024EF" w:rsidRDefault="0042202B" w:rsidP="00901A9E">
      <w:pPr>
        <w:pStyle w:val="NormalWeb"/>
        <w:shd w:val="clear" w:color="auto" w:fill="FAFAFA"/>
        <w:spacing w:before="0" w:beforeAutospacing="0" w:after="0" w:afterAutospacing="0"/>
        <w:rPr>
          <w:rStyle w:val="Style3"/>
        </w:rPr>
      </w:pPr>
      <w:r w:rsidRPr="00242C05">
        <w:rPr>
          <w:rStyle w:val="Style3"/>
        </w:rPr>
        <w:t xml:space="preserve">Services Australia </w:t>
      </w:r>
      <w:r w:rsidR="004A07B1">
        <w:rPr>
          <w:rStyle w:val="Style3"/>
        </w:rPr>
        <w:t>will get</w:t>
      </w:r>
      <w:r w:rsidRPr="00242C05">
        <w:rPr>
          <w:rStyle w:val="Style3"/>
        </w:rPr>
        <w:t xml:space="preserve"> </w:t>
      </w:r>
      <w:r w:rsidR="00E80393" w:rsidRPr="00242C05">
        <w:rPr>
          <w:rStyle w:val="Style3"/>
        </w:rPr>
        <w:t>$0.</w:t>
      </w:r>
      <w:r w:rsidR="00DF2435">
        <w:rPr>
          <w:rStyle w:val="Style3"/>
        </w:rPr>
        <w:t>7</w:t>
      </w:r>
      <w:r w:rsidR="00E80393" w:rsidRPr="00242C05">
        <w:rPr>
          <w:rStyle w:val="Style3"/>
        </w:rPr>
        <w:t xml:space="preserve"> million </w:t>
      </w:r>
      <w:r w:rsidR="00381393" w:rsidRPr="00242C05">
        <w:rPr>
          <w:rStyle w:val="Style3"/>
        </w:rPr>
        <w:t xml:space="preserve">through to </w:t>
      </w:r>
      <w:r w:rsidR="00E80393" w:rsidRPr="00242C05">
        <w:rPr>
          <w:rStyle w:val="Style3"/>
        </w:rPr>
        <w:t>2024</w:t>
      </w:r>
      <w:r w:rsidR="009024EF">
        <w:rPr>
          <w:rStyle w:val="Style3"/>
        </w:rPr>
        <w:t>–</w:t>
      </w:r>
      <w:r w:rsidR="00E80393" w:rsidRPr="00242C05">
        <w:rPr>
          <w:rStyle w:val="Style3"/>
        </w:rPr>
        <w:t>25</w:t>
      </w:r>
      <w:r w:rsidR="009024EF">
        <w:rPr>
          <w:rStyle w:val="Style3"/>
        </w:rPr>
        <w:t xml:space="preserve"> </w:t>
      </w:r>
      <w:r w:rsidR="00E80393" w:rsidRPr="00242C05">
        <w:rPr>
          <w:rStyle w:val="Style3"/>
        </w:rPr>
        <w:t xml:space="preserve">to </w:t>
      </w:r>
      <w:r w:rsidR="00B579AF" w:rsidRPr="00242C05">
        <w:rPr>
          <w:rStyle w:val="Style3"/>
        </w:rPr>
        <w:t xml:space="preserve">provide </w:t>
      </w:r>
      <w:r w:rsidR="00E80393" w:rsidRPr="00242C05">
        <w:rPr>
          <w:rStyle w:val="Style3"/>
        </w:rPr>
        <w:t xml:space="preserve">support </w:t>
      </w:r>
      <w:r w:rsidR="00B579AF" w:rsidRPr="00242C05">
        <w:rPr>
          <w:rStyle w:val="Style3"/>
        </w:rPr>
        <w:t>through</w:t>
      </w:r>
      <w:r w:rsidR="009024EF">
        <w:rPr>
          <w:rStyle w:val="Style3"/>
        </w:rPr>
        <w:t>:</w:t>
      </w:r>
    </w:p>
    <w:p w14:paraId="6D581220" w14:textId="59CCE632" w:rsidR="009024EF" w:rsidRDefault="00B579AF" w:rsidP="00901A9E">
      <w:pPr>
        <w:pStyle w:val="NormalWeb"/>
        <w:numPr>
          <w:ilvl w:val="0"/>
          <w:numId w:val="16"/>
        </w:numPr>
        <w:shd w:val="clear" w:color="auto" w:fill="FAFAFA"/>
        <w:spacing w:before="0" w:beforeAutospacing="0" w:after="0" w:afterAutospacing="0"/>
        <w:rPr>
          <w:rStyle w:val="Style3"/>
        </w:rPr>
      </w:pPr>
      <w:r w:rsidRPr="00242C05">
        <w:rPr>
          <w:rStyle w:val="Style3"/>
        </w:rPr>
        <w:t>performing project delivery tasks</w:t>
      </w:r>
    </w:p>
    <w:p w14:paraId="60808B6B" w14:textId="24A7E003" w:rsidR="009024EF" w:rsidRDefault="00B579AF" w:rsidP="00901A9E">
      <w:pPr>
        <w:pStyle w:val="NormalWeb"/>
        <w:numPr>
          <w:ilvl w:val="0"/>
          <w:numId w:val="16"/>
        </w:numPr>
        <w:shd w:val="clear" w:color="auto" w:fill="FAFAFA"/>
        <w:rPr>
          <w:rStyle w:val="Style3"/>
        </w:rPr>
      </w:pPr>
      <w:r w:rsidRPr="00242C05">
        <w:rPr>
          <w:rStyle w:val="Style3"/>
        </w:rPr>
        <w:t>data engineering activities</w:t>
      </w:r>
    </w:p>
    <w:p w14:paraId="12684A71" w14:textId="0550020D" w:rsidR="002F0AC3" w:rsidRPr="00242C05" w:rsidRDefault="00B579AF" w:rsidP="00901A9E">
      <w:pPr>
        <w:pStyle w:val="NormalWeb"/>
        <w:numPr>
          <w:ilvl w:val="0"/>
          <w:numId w:val="16"/>
        </w:numPr>
        <w:shd w:val="clear" w:color="auto" w:fill="FAFAFA"/>
        <w:rPr>
          <w:rStyle w:val="Style3"/>
        </w:rPr>
      </w:pPr>
      <w:r w:rsidRPr="00242C05">
        <w:rPr>
          <w:rStyle w:val="Style3"/>
        </w:rPr>
        <w:t>I</w:t>
      </w:r>
      <w:r w:rsidR="00757DA4">
        <w:rPr>
          <w:rStyle w:val="Style3"/>
        </w:rPr>
        <w:t>CT</w:t>
      </w:r>
      <w:r w:rsidRPr="00242C05">
        <w:rPr>
          <w:rStyle w:val="Style3"/>
        </w:rPr>
        <w:t xml:space="preserve"> configuration changes</w:t>
      </w:r>
      <w:r w:rsidR="00E80393" w:rsidRPr="00242C05">
        <w:rPr>
          <w:rStyle w:val="Style3"/>
        </w:rPr>
        <w:t>.</w:t>
      </w:r>
    </w:p>
    <w:p w14:paraId="3E582EED" w14:textId="5312A9A9" w:rsidR="00623BD5" w:rsidRDefault="00A41597" w:rsidP="0042202B">
      <w:pPr>
        <w:pStyle w:val="NormalWeb"/>
        <w:shd w:val="clear" w:color="auto" w:fill="FAFAFA"/>
        <w:rPr>
          <w:rStyle w:val="Style3"/>
        </w:rPr>
      </w:pPr>
      <w:r w:rsidRPr="00242C05">
        <w:rPr>
          <w:rStyle w:val="Style3"/>
        </w:rPr>
        <w:t>Eligible individuals can begin enrolling into Medicare from September 2024</w:t>
      </w:r>
      <w:r w:rsidR="002E49E5">
        <w:rPr>
          <w:rStyle w:val="Style3"/>
        </w:rPr>
        <w:t>.</w:t>
      </w:r>
      <w:r w:rsidR="00E0626F" w:rsidRPr="00242C05">
        <w:rPr>
          <w:rStyle w:val="Style3"/>
        </w:rPr>
        <w:t xml:space="preserve"> </w:t>
      </w:r>
      <w:r w:rsidR="002E49E5">
        <w:rPr>
          <w:rStyle w:val="Style3"/>
        </w:rPr>
        <w:t>T</w:t>
      </w:r>
      <w:r w:rsidR="00E0626F" w:rsidRPr="00242C05">
        <w:rPr>
          <w:rStyle w:val="Style3"/>
        </w:rPr>
        <w:t xml:space="preserve">hey can still access </w:t>
      </w:r>
      <w:r w:rsidR="00E0626F" w:rsidRPr="00242C05">
        <w:rPr>
          <w:rFonts w:ascii="Arial" w:hAnsi="Arial" w:cs="Arial"/>
        </w:rPr>
        <w:t xml:space="preserve">Medicare benefits for health and medical costs incurred during their eligible period while they </w:t>
      </w:r>
      <w:r w:rsidR="009024EF">
        <w:rPr>
          <w:rFonts w:ascii="Arial" w:hAnsi="Arial" w:cs="Arial"/>
        </w:rPr>
        <w:t xml:space="preserve">wait </w:t>
      </w:r>
      <w:r w:rsidR="00E0626F" w:rsidRPr="00242C05">
        <w:rPr>
          <w:rFonts w:ascii="Arial" w:hAnsi="Arial" w:cs="Arial"/>
        </w:rPr>
        <w:t>for their enrolment to be processed.</w:t>
      </w:r>
    </w:p>
    <w:p w14:paraId="5D564ADE" w14:textId="41007C37" w:rsidR="00E33470" w:rsidRPr="00242C05" w:rsidRDefault="00623BD5" w:rsidP="0042202B">
      <w:pPr>
        <w:pStyle w:val="NormalWeb"/>
        <w:shd w:val="clear" w:color="auto" w:fill="FAFAFA"/>
        <w:rPr>
          <w:sz w:val="18"/>
        </w:rPr>
      </w:pPr>
      <w:r w:rsidRPr="00242C05">
        <w:rPr>
          <w:rStyle w:val="Style3"/>
        </w:rPr>
        <w:t>Th</w:t>
      </w:r>
      <w:r w:rsidR="009024EF">
        <w:rPr>
          <w:rStyle w:val="Style3"/>
        </w:rPr>
        <w:t>is</w:t>
      </w:r>
      <w:r w:rsidRPr="00242C05">
        <w:rPr>
          <w:rStyle w:val="Style3"/>
        </w:rPr>
        <w:t xml:space="preserve"> measure is led by the Department of Home Affairs.</w:t>
      </w:r>
    </w:p>
    <w:p w14:paraId="6FE6F6D2" w14:textId="79ECC0DE" w:rsidR="00EF6DED" w:rsidRPr="003E5765" w:rsidRDefault="002F0AC3" w:rsidP="00E4177E">
      <w:pPr>
        <w:pStyle w:val="DHSBodytext"/>
      </w:pPr>
      <w:r w:rsidRPr="00242C05">
        <w:rPr>
          <w:rStyle w:val="Style2"/>
        </w:rPr>
        <w:t>This measure is subject to legislation passing.</w:t>
      </w: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12083F2D" w14:textId="0AB009BA" w:rsidR="00EF6DED" w:rsidRPr="008E4E63" w:rsidRDefault="00571BB0" w:rsidP="008F235D">
      <w:pPr>
        <w:pStyle w:val="DHSBodytext"/>
      </w:pPr>
      <w:r>
        <w:t xml:space="preserve">This affects </w:t>
      </w:r>
      <w:r w:rsidR="00767A41">
        <w:rPr>
          <w:rStyle w:val="Style3"/>
        </w:rPr>
        <w:t>people</w:t>
      </w:r>
      <w:r w:rsidR="003D3644">
        <w:rPr>
          <w:rStyle w:val="Style3"/>
        </w:rPr>
        <w:t xml:space="preserve"> </w:t>
      </w:r>
      <w:r w:rsidR="00910C4B" w:rsidRPr="00B605DB">
        <w:rPr>
          <w:rStyle w:val="Style3"/>
        </w:rPr>
        <w:t xml:space="preserve">from significantly affected areas of Israel and the </w:t>
      </w:r>
      <w:r w:rsidR="00910C4B">
        <w:rPr>
          <w:rStyle w:val="Style3"/>
        </w:rPr>
        <w:t>OPT</w:t>
      </w:r>
      <w:r w:rsidR="002E49E5">
        <w:rPr>
          <w:rStyle w:val="Style3"/>
        </w:rPr>
        <w:t>.</w:t>
      </w: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1D76010A" w:rsidR="00847590" w:rsidRPr="003E5765" w:rsidRDefault="00910C4B" w:rsidP="003E5765">
      <w:pPr>
        <w:rPr>
          <w:rFonts w:ascii="Arial" w:hAnsi="Arial" w:cs="Arial"/>
        </w:rPr>
      </w:pPr>
      <w:r>
        <w:rPr>
          <w:rStyle w:val="Style3"/>
          <w:rFonts w:cs="Arial"/>
        </w:rPr>
        <w:t>This measure started on 31 January 2024 and will end on 30 June 2025.</w:t>
      </w:r>
    </w:p>
    <w:sectPr w:rsidR="00847590" w:rsidRPr="003E5765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6514" w14:textId="77777777" w:rsidR="000C1129" w:rsidRDefault="000C1129">
      <w:r>
        <w:separator/>
      </w:r>
    </w:p>
  </w:endnote>
  <w:endnote w:type="continuationSeparator" w:id="0">
    <w:p w14:paraId="357A7E1E" w14:textId="77777777" w:rsidR="000C1129" w:rsidRDefault="000C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107AD08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096025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096025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4971598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096025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096025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677" w14:textId="77777777" w:rsidR="000C1129" w:rsidRDefault="000C1129">
      <w:r>
        <w:separator/>
      </w:r>
    </w:p>
  </w:footnote>
  <w:footnote w:type="continuationSeparator" w:id="0">
    <w:p w14:paraId="026DBE14" w14:textId="77777777" w:rsidR="000C1129" w:rsidRDefault="000C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15B2"/>
    <w:multiLevelType w:val="hybridMultilevel"/>
    <w:tmpl w:val="EA1E4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0397"/>
    <w:multiLevelType w:val="hybridMultilevel"/>
    <w:tmpl w:val="07FEF47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516815">
    <w:abstractNumId w:val="16"/>
  </w:num>
  <w:num w:numId="2" w16cid:durableId="156043471">
    <w:abstractNumId w:val="1"/>
  </w:num>
  <w:num w:numId="3" w16cid:durableId="44379986">
    <w:abstractNumId w:val="14"/>
  </w:num>
  <w:num w:numId="4" w16cid:durableId="1364400991">
    <w:abstractNumId w:val="2"/>
  </w:num>
  <w:num w:numId="5" w16cid:durableId="490754643">
    <w:abstractNumId w:val="13"/>
  </w:num>
  <w:num w:numId="6" w16cid:durableId="851191257">
    <w:abstractNumId w:val="5"/>
  </w:num>
  <w:num w:numId="7" w16cid:durableId="816413060">
    <w:abstractNumId w:val="12"/>
  </w:num>
  <w:num w:numId="8" w16cid:durableId="580791676">
    <w:abstractNumId w:val="15"/>
  </w:num>
  <w:num w:numId="9" w16cid:durableId="738865146">
    <w:abstractNumId w:val="9"/>
  </w:num>
  <w:num w:numId="10" w16cid:durableId="1082529427">
    <w:abstractNumId w:val="10"/>
  </w:num>
  <w:num w:numId="11" w16cid:durableId="1951812074">
    <w:abstractNumId w:val="0"/>
  </w:num>
  <w:num w:numId="12" w16cid:durableId="165825968">
    <w:abstractNumId w:val="11"/>
  </w:num>
  <w:num w:numId="13" w16cid:durableId="1364360084">
    <w:abstractNumId w:val="3"/>
  </w:num>
  <w:num w:numId="14" w16cid:durableId="2029283811">
    <w:abstractNumId w:val="8"/>
  </w:num>
  <w:num w:numId="15" w16cid:durableId="274169003">
    <w:abstractNumId w:val="7"/>
  </w:num>
  <w:num w:numId="16" w16cid:durableId="1607494331">
    <w:abstractNumId w:val="6"/>
  </w:num>
  <w:num w:numId="17" w16cid:durableId="189762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96025"/>
    <w:rsid w:val="000A0B73"/>
    <w:rsid w:val="000B6BAF"/>
    <w:rsid w:val="000C1129"/>
    <w:rsid w:val="000C6C57"/>
    <w:rsid w:val="000D0E18"/>
    <w:rsid w:val="000D6870"/>
    <w:rsid w:val="000E1566"/>
    <w:rsid w:val="000F770A"/>
    <w:rsid w:val="00112F82"/>
    <w:rsid w:val="001172E7"/>
    <w:rsid w:val="001240E8"/>
    <w:rsid w:val="0013636B"/>
    <w:rsid w:val="001453AD"/>
    <w:rsid w:val="001573A2"/>
    <w:rsid w:val="00183D7B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36087"/>
    <w:rsid w:val="00242C05"/>
    <w:rsid w:val="00244CA1"/>
    <w:rsid w:val="002502BE"/>
    <w:rsid w:val="002560EB"/>
    <w:rsid w:val="00266B25"/>
    <w:rsid w:val="00274FFD"/>
    <w:rsid w:val="00281861"/>
    <w:rsid w:val="00284ADE"/>
    <w:rsid w:val="00290FA5"/>
    <w:rsid w:val="002A21C5"/>
    <w:rsid w:val="002C19E4"/>
    <w:rsid w:val="002C78D8"/>
    <w:rsid w:val="002E49E5"/>
    <w:rsid w:val="002E6283"/>
    <w:rsid w:val="002F0AC3"/>
    <w:rsid w:val="00300015"/>
    <w:rsid w:val="003100BB"/>
    <w:rsid w:val="00316C5E"/>
    <w:rsid w:val="00325195"/>
    <w:rsid w:val="0033017C"/>
    <w:rsid w:val="00353EE5"/>
    <w:rsid w:val="00360888"/>
    <w:rsid w:val="00361F19"/>
    <w:rsid w:val="0036350A"/>
    <w:rsid w:val="00364300"/>
    <w:rsid w:val="0036436D"/>
    <w:rsid w:val="00371947"/>
    <w:rsid w:val="00381393"/>
    <w:rsid w:val="0038253F"/>
    <w:rsid w:val="00386876"/>
    <w:rsid w:val="00390DD4"/>
    <w:rsid w:val="003A012C"/>
    <w:rsid w:val="003A0453"/>
    <w:rsid w:val="003A53A0"/>
    <w:rsid w:val="003B453F"/>
    <w:rsid w:val="003C673A"/>
    <w:rsid w:val="003D3644"/>
    <w:rsid w:val="003D3F47"/>
    <w:rsid w:val="003E5765"/>
    <w:rsid w:val="003F3553"/>
    <w:rsid w:val="003F3F96"/>
    <w:rsid w:val="003F72E8"/>
    <w:rsid w:val="00405768"/>
    <w:rsid w:val="00414BF8"/>
    <w:rsid w:val="004203AA"/>
    <w:rsid w:val="0042202B"/>
    <w:rsid w:val="00426CFE"/>
    <w:rsid w:val="00432428"/>
    <w:rsid w:val="004714E9"/>
    <w:rsid w:val="004833F2"/>
    <w:rsid w:val="00484CEA"/>
    <w:rsid w:val="004A07B1"/>
    <w:rsid w:val="004A3217"/>
    <w:rsid w:val="004B6F21"/>
    <w:rsid w:val="004C60C9"/>
    <w:rsid w:val="004C77D7"/>
    <w:rsid w:val="004E0DA8"/>
    <w:rsid w:val="004F095C"/>
    <w:rsid w:val="004F1165"/>
    <w:rsid w:val="004F68C2"/>
    <w:rsid w:val="00504497"/>
    <w:rsid w:val="00504AA8"/>
    <w:rsid w:val="00507EB2"/>
    <w:rsid w:val="00510D3F"/>
    <w:rsid w:val="00516D40"/>
    <w:rsid w:val="00547253"/>
    <w:rsid w:val="00550371"/>
    <w:rsid w:val="00571396"/>
    <w:rsid w:val="00571BB0"/>
    <w:rsid w:val="00571C3F"/>
    <w:rsid w:val="00573C0E"/>
    <w:rsid w:val="005A5EDA"/>
    <w:rsid w:val="005B1652"/>
    <w:rsid w:val="005C738D"/>
    <w:rsid w:val="005C7D3C"/>
    <w:rsid w:val="00620E30"/>
    <w:rsid w:val="00622896"/>
    <w:rsid w:val="00623BD5"/>
    <w:rsid w:val="00632BBE"/>
    <w:rsid w:val="00640F2C"/>
    <w:rsid w:val="0067371F"/>
    <w:rsid w:val="0067669C"/>
    <w:rsid w:val="006825DB"/>
    <w:rsid w:val="00685C7C"/>
    <w:rsid w:val="006964A3"/>
    <w:rsid w:val="006A317C"/>
    <w:rsid w:val="006B396F"/>
    <w:rsid w:val="006F3C21"/>
    <w:rsid w:val="00711EA6"/>
    <w:rsid w:val="00715039"/>
    <w:rsid w:val="00722887"/>
    <w:rsid w:val="00730A3D"/>
    <w:rsid w:val="00746A31"/>
    <w:rsid w:val="0074745D"/>
    <w:rsid w:val="00756927"/>
    <w:rsid w:val="00757DA4"/>
    <w:rsid w:val="00767A41"/>
    <w:rsid w:val="00772C06"/>
    <w:rsid w:val="007B4F51"/>
    <w:rsid w:val="007D4E00"/>
    <w:rsid w:val="00801D1A"/>
    <w:rsid w:val="00836442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1A9E"/>
    <w:rsid w:val="009024EF"/>
    <w:rsid w:val="0090591C"/>
    <w:rsid w:val="00907D7A"/>
    <w:rsid w:val="00910C4B"/>
    <w:rsid w:val="00912418"/>
    <w:rsid w:val="00915568"/>
    <w:rsid w:val="009174A0"/>
    <w:rsid w:val="00923854"/>
    <w:rsid w:val="00932AA3"/>
    <w:rsid w:val="009434C2"/>
    <w:rsid w:val="00945DB0"/>
    <w:rsid w:val="009635D0"/>
    <w:rsid w:val="00965631"/>
    <w:rsid w:val="0097065D"/>
    <w:rsid w:val="00983BBD"/>
    <w:rsid w:val="009905A7"/>
    <w:rsid w:val="00995023"/>
    <w:rsid w:val="009A099C"/>
    <w:rsid w:val="009D371D"/>
    <w:rsid w:val="009E1E1B"/>
    <w:rsid w:val="009E3B3A"/>
    <w:rsid w:val="00A02C38"/>
    <w:rsid w:val="00A163B5"/>
    <w:rsid w:val="00A16C8F"/>
    <w:rsid w:val="00A3536B"/>
    <w:rsid w:val="00A41597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B75DD"/>
    <w:rsid w:val="00AC34FD"/>
    <w:rsid w:val="00AC7892"/>
    <w:rsid w:val="00AE0688"/>
    <w:rsid w:val="00AF4424"/>
    <w:rsid w:val="00B13CCE"/>
    <w:rsid w:val="00B26D06"/>
    <w:rsid w:val="00B27735"/>
    <w:rsid w:val="00B27C58"/>
    <w:rsid w:val="00B32B9E"/>
    <w:rsid w:val="00B362B6"/>
    <w:rsid w:val="00B46C32"/>
    <w:rsid w:val="00B55601"/>
    <w:rsid w:val="00B579AF"/>
    <w:rsid w:val="00B605DB"/>
    <w:rsid w:val="00B86E2B"/>
    <w:rsid w:val="00B87453"/>
    <w:rsid w:val="00B9008C"/>
    <w:rsid w:val="00BA77DE"/>
    <w:rsid w:val="00BB4D6C"/>
    <w:rsid w:val="00BB7DE5"/>
    <w:rsid w:val="00BE0EB8"/>
    <w:rsid w:val="00BE3E16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709CD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DF2435"/>
    <w:rsid w:val="00E0452E"/>
    <w:rsid w:val="00E0626F"/>
    <w:rsid w:val="00E076AE"/>
    <w:rsid w:val="00E277F4"/>
    <w:rsid w:val="00E31B70"/>
    <w:rsid w:val="00E33470"/>
    <w:rsid w:val="00E409B0"/>
    <w:rsid w:val="00E4177E"/>
    <w:rsid w:val="00E4594F"/>
    <w:rsid w:val="00E45BAD"/>
    <w:rsid w:val="00E5725A"/>
    <w:rsid w:val="00E63EC2"/>
    <w:rsid w:val="00E710D9"/>
    <w:rsid w:val="00E768D0"/>
    <w:rsid w:val="00E76D5A"/>
    <w:rsid w:val="00E80393"/>
    <w:rsid w:val="00EA2350"/>
    <w:rsid w:val="00EA7A22"/>
    <w:rsid w:val="00EB20C6"/>
    <w:rsid w:val="00EC3E4A"/>
    <w:rsid w:val="00EE1ACE"/>
    <w:rsid w:val="00EE3E1E"/>
    <w:rsid w:val="00EE78F0"/>
    <w:rsid w:val="00EF6DED"/>
    <w:rsid w:val="00EF7943"/>
    <w:rsid w:val="00F15962"/>
    <w:rsid w:val="00F17318"/>
    <w:rsid w:val="00F237B2"/>
    <w:rsid w:val="00F34E10"/>
    <w:rsid w:val="00F42F02"/>
    <w:rsid w:val="00F70B0F"/>
    <w:rsid w:val="00F8091B"/>
    <w:rsid w:val="00F817D3"/>
    <w:rsid w:val="00F85641"/>
    <w:rsid w:val="00F85C8F"/>
    <w:rsid w:val="00FA1A42"/>
    <w:rsid w:val="00FA7748"/>
    <w:rsid w:val="00FA7AC7"/>
    <w:rsid w:val="00FC3645"/>
    <w:rsid w:val="00FE13B9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CF4E-C4C3-4616-92A5-1D8981E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to Individuals from Israel and Occupied Palestinian Territories affected by the Hamas‑Israel conflict</dc:title>
  <dc:subject/>
  <dc:creator>Services Australia</dc:creator>
  <cp:keywords>Budget 2024-25</cp:keywords>
  <dc:description/>
  <cp:lastModifiedBy/>
  <cp:revision>1</cp:revision>
  <dcterms:created xsi:type="dcterms:W3CDTF">2024-05-14T06:49:00Z</dcterms:created>
  <dcterms:modified xsi:type="dcterms:W3CDTF">2024-05-14T06:54:00Z</dcterms:modified>
</cp:coreProperties>
</file>