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58931" w14:textId="77777777" w:rsidR="00D123B0" w:rsidRDefault="00D123B0" w:rsidP="00D123B0">
      <w:pPr>
        <w:pStyle w:val="DHSHeadinglevel1"/>
      </w:pPr>
      <w:r>
        <w:t xml:space="preserve">Farm Household Allowance talking points </w:t>
      </w:r>
    </w:p>
    <w:p w14:paraId="72B7CD69" w14:textId="281A8344" w:rsidR="00D123B0" w:rsidRPr="00547413" w:rsidRDefault="009C4BFC" w:rsidP="00547413">
      <w:pPr>
        <w:pStyle w:val="DHSBodytext"/>
      </w:pPr>
      <w:r>
        <w:t xml:space="preserve">Following is some information you can offer to people who may be interested in Farm Household Allowance (FHA). </w:t>
      </w:r>
      <w:r>
        <w:br/>
      </w:r>
      <w:r>
        <w:br/>
        <w:t xml:space="preserve">FHA </w:t>
      </w:r>
      <w:r w:rsidR="00D123B0">
        <w:t xml:space="preserve">is an income support payment that helps farmers and their families in financial hardship. It supports farmers to improve their financial self-reliance. It’s paid by Services Australia. </w:t>
      </w:r>
    </w:p>
    <w:p w14:paraId="10502251" w14:textId="77777777" w:rsidR="00D123B0" w:rsidRDefault="00D123B0" w:rsidP="00D123B0">
      <w:pPr>
        <w:pStyle w:val="DHSHeadinglevel2"/>
      </w:pPr>
      <w:r>
        <w:t xml:space="preserve">How it can help </w:t>
      </w:r>
    </w:p>
    <w:p w14:paraId="6D4149ED" w14:textId="1C2A9C60" w:rsidR="00D123B0" w:rsidRDefault="00D123B0" w:rsidP="00D123B0">
      <w:pPr>
        <w:pStyle w:val="DHSBodytext"/>
      </w:pPr>
      <w:r>
        <w:t>It supports farmers and their partners to improve their financial position. It includes tailored activities to help the</w:t>
      </w:r>
      <w:r w:rsidR="000B162A">
        <w:t xml:space="preserve">m </w:t>
      </w:r>
      <w:r>
        <w:t xml:space="preserve">meet their goals. </w:t>
      </w:r>
    </w:p>
    <w:p w14:paraId="7CBDF464" w14:textId="77777777" w:rsidR="00D123B0" w:rsidRDefault="00D123B0" w:rsidP="00D123B0">
      <w:pPr>
        <w:pStyle w:val="DHSBodytext"/>
      </w:pPr>
      <w:r>
        <w:t>Activities can include:</w:t>
      </w:r>
    </w:p>
    <w:p w14:paraId="1E55A4BB" w14:textId="77777777" w:rsidR="00D123B0" w:rsidRDefault="00D123B0" w:rsidP="00D123B0">
      <w:pPr>
        <w:pStyle w:val="DHSBulletslevel"/>
      </w:pPr>
      <w:r>
        <w:t>training and advice</w:t>
      </w:r>
    </w:p>
    <w:p w14:paraId="569D4BE9" w14:textId="77365D52" w:rsidR="00D123B0" w:rsidRDefault="00D123B0" w:rsidP="00D123B0">
      <w:pPr>
        <w:pStyle w:val="DHSBulletslevel"/>
      </w:pPr>
      <w:r>
        <w:t>exploring ways to improve</w:t>
      </w:r>
      <w:r w:rsidR="00705043">
        <w:t xml:space="preserve"> </w:t>
      </w:r>
      <w:r w:rsidR="00BF06E8">
        <w:t xml:space="preserve">the </w:t>
      </w:r>
      <w:r>
        <w:t>farm business</w:t>
      </w:r>
    </w:p>
    <w:p w14:paraId="6B760967" w14:textId="77777777" w:rsidR="00D123B0" w:rsidRDefault="00D123B0" w:rsidP="00D123B0">
      <w:pPr>
        <w:pStyle w:val="DHSBulletslevel"/>
      </w:pPr>
      <w:r>
        <w:t xml:space="preserve">looking at taking up off-farm work. </w:t>
      </w:r>
    </w:p>
    <w:p w14:paraId="2A539381" w14:textId="73282239" w:rsidR="00D123B0" w:rsidRDefault="00BF06E8" w:rsidP="00D123B0">
      <w:pPr>
        <w:pStyle w:val="DHSBodytext"/>
        <w:spacing w:after="240"/>
      </w:pPr>
      <w:r>
        <w:t xml:space="preserve">Each farmer </w:t>
      </w:r>
      <w:r w:rsidR="00D06118">
        <w:t>and Partner of a farmer</w:t>
      </w:r>
      <w:r w:rsidR="005423AB">
        <w:t xml:space="preserve"> who receive Farm Household Allowance</w:t>
      </w:r>
      <w:r>
        <w:t xml:space="preserve"> </w:t>
      </w:r>
      <w:r w:rsidR="00D123B0">
        <w:t>can get up to $10,000 in activity supplements</w:t>
      </w:r>
      <w:r w:rsidR="005423AB">
        <w:t xml:space="preserve"> each</w:t>
      </w:r>
      <w:r w:rsidR="00D123B0">
        <w:t xml:space="preserve"> over their lifetime to help pay for </w:t>
      </w:r>
      <w:r w:rsidR="00E646FE">
        <w:t>approved activities</w:t>
      </w:r>
      <w:r w:rsidR="00D123B0">
        <w:t xml:space="preserve">. </w:t>
      </w:r>
    </w:p>
    <w:p w14:paraId="634E82AB" w14:textId="77777777" w:rsidR="00D123B0" w:rsidRDefault="00D123B0" w:rsidP="00D123B0">
      <w:pPr>
        <w:pStyle w:val="DHSHeadinglevel2"/>
      </w:pPr>
      <w:r>
        <w:t xml:space="preserve">How much farmers can get </w:t>
      </w:r>
    </w:p>
    <w:p w14:paraId="55F7CCE9" w14:textId="77777777" w:rsidR="00D123B0" w:rsidRDefault="00D123B0" w:rsidP="00D123B0">
      <w:pPr>
        <w:pStyle w:val="DHSBodytext"/>
      </w:pPr>
      <w:r>
        <w:t>T</w:t>
      </w:r>
      <w:r w:rsidRPr="00660056">
        <w:t xml:space="preserve">his payment is the same rate as </w:t>
      </w:r>
      <w:proofErr w:type="spellStart"/>
      <w:r w:rsidRPr="00660056">
        <w:t>JobSe</w:t>
      </w:r>
      <w:r>
        <w:t>eker</w:t>
      </w:r>
      <w:proofErr w:type="spellEnd"/>
      <w:r>
        <w:t xml:space="preserve"> Payment or Youth Allowance.</w:t>
      </w:r>
      <w:r w:rsidRPr="009B46BA">
        <w:t xml:space="preserve"> </w:t>
      </w:r>
    </w:p>
    <w:p w14:paraId="1E7CEAFA" w14:textId="77777777" w:rsidR="00D123B0" w:rsidRDefault="00D123B0" w:rsidP="00D123B0">
      <w:pPr>
        <w:pStyle w:val="DHSBodytext"/>
      </w:pPr>
      <w:r>
        <w:t xml:space="preserve">Services Australia </w:t>
      </w:r>
      <w:r w:rsidRPr="00660056">
        <w:t xml:space="preserve">may pay the allowance to both </w:t>
      </w:r>
      <w:r>
        <w:t>a farmer and their partner</w:t>
      </w:r>
      <w:r w:rsidRPr="00660056">
        <w:t xml:space="preserve">. </w:t>
      </w:r>
      <w:r>
        <w:t xml:space="preserve">They </w:t>
      </w:r>
      <w:r w:rsidRPr="00660056">
        <w:t>may be able to submit a combined claim.</w:t>
      </w:r>
    </w:p>
    <w:p w14:paraId="394F349D" w14:textId="0B72660C" w:rsidR="00D123B0" w:rsidRDefault="00705043" w:rsidP="00D123B0">
      <w:pPr>
        <w:pStyle w:val="DHSBodytext"/>
      </w:pPr>
      <w:r>
        <w:t>Farmer</w:t>
      </w:r>
      <w:r w:rsidR="00D123B0">
        <w:t xml:space="preserve">s can get FHA for 4 years in </w:t>
      </w:r>
      <w:r w:rsidR="00086395">
        <w:t xml:space="preserve">a </w:t>
      </w:r>
      <w:r w:rsidR="00D123B0">
        <w:t>specific 10-year period. Services Australia counts 4 years as a total of 1,460 days.</w:t>
      </w:r>
    </w:p>
    <w:p w14:paraId="2EA242ED" w14:textId="26734D94" w:rsidR="00D123B0" w:rsidRDefault="00BF06E8" w:rsidP="00D123B0">
      <w:pPr>
        <w:pStyle w:val="DHSBodytext"/>
      </w:pPr>
      <w:r>
        <w:t>A new 10-year period starts on 1 July 2024</w:t>
      </w:r>
      <w:r w:rsidR="00D123B0">
        <w:t xml:space="preserve">. If the </w:t>
      </w:r>
      <w:r w:rsidR="00705043">
        <w:t xml:space="preserve">farmer </w:t>
      </w:r>
      <w:r>
        <w:t xml:space="preserve">or couple </w:t>
      </w:r>
      <w:r w:rsidR="00D123B0">
        <w:t>has used up their 4 years</w:t>
      </w:r>
      <w:r>
        <w:t xml:space="preserve"> from the previous period</w:t>
      </w:r>
      <w:r w:rsidR="00D123B0">
        <w:t>, they can claim FHA again from 1 July 2024.</w:t>
      </w:r>
    </w:p>
    <w:p w14:paraId="21EE5A69" w14:textId="3073F451" w:rsidR="00D123B0" w:rsidRDefault="00705043" w:rsidP="00D123B0">
      <w:pPr>
        <w:pStyle w:val="DHSBodytext"/>
        <w:spacing w:after="240"/>
      </w:pPr>
      <w:r>
        <w:t xml:space="preserve">Farmers </w:t>
      </w:r>
      <w:r w:rsidR="00D123B0">
        <w:t xml:space="preserve">don’t have to use the 4 years all at once. They can save it for when they need it. </w:t>
      </w:r>
    </w:p>
    <w:p w14:paraId="500F3F97" w14:textId="77777777" w:rsidR="00D123B0" w:rsidRDefault="00D123B0" w:rsidP="00D123B0">
      <w:pPr>
        <w:pStyle w:val="Default"/>
        <w:spacing w:after="120"/>
        <w:rPr>
          <w:sz w:val="32"/>
          <w:szCs w:val="32"/>
        </w:rPr>
      </w:pPr>
      <w:r>
        <w:rPr>
          <w:b/>
          <w:bCs/>
          <w:sz w:val="32"/>
          <w:szCs w:val="32"/>
        </w:rPr>
        <w:t xml:space="preserve">What a Farm Household Case Officer does </w:t>
      </w:r>
    </w:p>
    <w:p w14:paraId="74076EB3" w14:textId="77777777" w:rsidR="00D123B0" w:rsidRDefault="00D123B0" w:rsidP="00D123B0">
      <w:pPr>
        <w:pStyle w:val="Default"/>
        <w:spacing w:after="120"/>
        <w:rPr>
          <w:sz w:val="22"/>
          <w:szCs w:val="22"/>
        </w:rPr>
      </w:pPr>
      <w:r>
        <w:rPr>
          <w:sz w:val="22"/>
          <w:szCs w:val="22"/>
        </w:rPr>
        <w:t xml:space="preserve">Farmers eligible for FHA will get help from a Farm Household Case Officer (FHCO). They’ll work together to: </w:t>
      </w:r>
    </w:p>
    <w:p w14:paraId="5C2EC9FA" w14:textId="6B70A130" w:rsidR="00D123B0" w:rsidRDefault="00D123B0" w:rsidP="00D123B0">
      <w:pPr>
        <w:pStyle w:val="Default"/>
        <w:spacing w:after="120"/>
        <w:rPr>
          <w:sz w:val="22"/>
          <w:szCs w:val="22"/>
        </w:rPr>
      </w:pPr>
      <w:r>
        <w:rPr>
          <w:sz w:val="22"/>
          <w:szCs w:val="22"/>
        </w:rPr>
        <w:t xml:space="preserve">• agree on activities to help meet the </w:t>
      </w:r>
      <w:r w:rsidR="00705043">
        <w:rPr>
          <w:sz w:val="22"/>
          <w:szCs w:val="22"/>
        </w:rPr>
        <w:t>farmer</w:t>
      </w:r>
      <w:r>
        <w:rPr>
          <w:sz w:val="22"/>
          <w:szCs w:val="22"/>
        </w:rPr>
        <w:t xml:space="preserve">’s goals </w:t>
      </w:r>
    </w:p>
    <w:p w14:paraId="0A076CE4" w14:textId="5AE49F81" w:rsidR="00D123B0" w:rsidRDefault="00D123B0" w:rsidP="00D123B0">
      <w:pPr>
        <w:pStyle w:val="Default"/>
        <w:spacing w:after="120"/>
        <w:rPr>
          <w:sz w:val="22"/>
          <w:szCs w:val="22"/>
        </w:rPr>
      </w:pPr>
      <w:r>
        <w:rPr>
          <w:sz w:val="22"/>
          <w:szCs w:val="22"/>
        </w:rPr>
        <w:t xml:space="preserve">• get training and advice to support the </w:t>
      </w:r>
      <w:r w:rsidR="00705043">
        <w:rPr>
          <w:sz w:val="22"/>
          <w:szCs w:val="22"/>
        </w:rPr>
        <w:t>farme</w:t>
      </w:r>
      <w:r>
        <w:rPr>
          <w:sz w:val="22"/>
          <w:szCs w:val="22"/>
        </w:rPr>
        <w:t xml:space="preserve">r’s goals. </w:t>
      </w:r>
    </w:p>
    <w:p w14:paraId="59E91DF9" w14:textId="3A4FE5BC" w:rsidR="00D123B0" w:rsidRDefault="00D123B0" w:rsidP="00D123B0">
      <w:pPr>
        <w:pStyle w:val="Default"/>
        <w:spacing w:after="120"/>
        <w:rPr>
          <w:sz w:val="22"/>
          <w:szCs w:val="22"/>
        </w:rPr>
      </w:pPr>
      <w:r>
        <w:rPr>
          <w:sz w:val="22"/>
          <w:szCs w:val="22"/>
        </w:rPr>
        <w:t xml:space="preserve">Before working with an FHCO, the farmer completes a Farm Financial Assessment. The </w:t>
      </w:r>
      <w:r w:rsidR="00C24050">
        <w:rPr>
          <w:sz w:val="22"/>
          <w:szCs w:val="22"/>
        </w:rPr>
        <w:t xml:space="preserve">assessment </w:t>
      </w:r>
      <w:r>
        <w:rPr>
          <w:sz w:val="22"/>
          <w:szCs w:val="22"/>
        </w:rPr>
        <w:t xml:space="preserve">shows the financial state of the farm. </w:t>
      </w:r>
    </w:p>
    <w:p w14:paraId="5F2FCDAB" w14:textId="77777777" w:rsidR="00D123B0" w:rsidRDefault="00D123B0" w:rsidP="00D123B0">
      <w:pPr>
        <w:pStyle w:val="Default"/>
        <w:spacing w:after="120"/>
        <w:rPr>
          <w:sz w:val="22"/>
          <w:szCs w:val="22"/>
        </w:rPr>
      </w:pPr>
      <w:r>
        <w:rPr>
          <w:sz w:val="22"/>
          <w:szCs w:val="22"/>
        </w:rPr>
        <w:t xml:space="preserve">The farmer completes this online with a financial assessor. </w:t>
      </w:r>
    </w:p>
    <w:p w14:paraId="47F20EC2" w14:textId="262D3E42" w:rsidR="00D123B0" w:rsidRPr="004C3896" w:rsidRDefault="00D123B0" w:rsidP="00D123B0">
      <w:pPr>
        <w:pStyle w:val="Default"/>
        <w:spacing w:after="120"/>
        <w:rPr>
          <w:sz w:val="22"/>
          <w:szCs w:val="22"/>
        </w:rPr>
      </w:pPr>
      <w:r w:rsidRPr="004C3896">
        <w:rPr>
          <w:sz w:val="22"/>
          <w:szCs w:val="22"/>
        </w:rPr>
        <w:t>This type of financial assessor is someone who:</w:t>
      </w:r>
    </w:p>
    <w:p w14:paraId="2C2D0910" w14:textId="44F2E0F7" w:rsidR="00D123B0" w:rsidRPr="004C3896" w:rsidRDefault="00D123B0" w:rsidP="00D123B0">
      <w:pPr>
        <w:pStyle w:val="Default"/>
        <w:numPr>
          <w:ilvl w:val="0"/>
          <w:numId w:val="13"/>
        </w:numPr>
        <w:spacing w:after="120"/>
        <w:rPr>
          <w:sz w:val="22"/>
          <w:szCs w:val="22"/>
        </w:rPr>
      </w:pPr>
      <w:r w:rsidRPr="004C3896">
        <w:rPr>
          <w:sz w:val="22"/>
          <w:szCs w:val="22"/>
        </w:rPr>
        <w:t>normally provides this kind of advice or assessment</w:t>
      </w:r>
      <w:r w:rsidR="00943BBB">
        <w:rPr>
          <w:sz w:val="22"/>
          <w:szCs w:val="22"/>
        </w:rPr>
        <w:t xml:space="preserve"> and</w:t>
      </w:r>
    </w:p>
    <w:p w14:paraId="56C16375" w14:textId="30BA1F1A" w:rsidR="00D123B0" w:rsidRDefault="00D123B0" w:rsidP="00D123B0">
      <w:pPr>
        <w:pStyle w:val="Default"/>
        <w:numPr>
          <w:ilvl w:val="0"/>
          <w:numId w:val="13"/>
        </w:numPr>
        <w:spacing w:after="120"/>
        <w:rPr>
          <w:sz w:val="22"/>
          <w:szCs w:val="22"/>
        </w:rPr>
      </w:pPr>
      <w:r w:rsidRPr="004C3896">
        <w:rPr>
          <w:sz w:val="22"/>
          <w:szCs w:val="22"/>
        </w:rPr>
        <w:t xml:space="preserve">has relevant financial, </w:t>
      </w:r>
      <w:r w:rsidR="00943BBB" w:rsidRPr="004C3896">
        <w:rPr>
          <w:sz w:val="22"/>
          <w:szCs w:val="22"/>
        </w:rPr>
        <w:t>agronomic,</w:t>
      </w:r>
      <w:r w:rsidRPr="004C3896">
        <w:rPr>
          <w:sz w:val="22"/>
          <w:szCs w:val="22"/>
        </w:rPr>
        <w:t xml:space="preserve"> or business qualifications or expertise to complete the </w:t>
      </w:r>
      <w:r>
        <w:rPr>
          <w:sz w:val="22"/>
          <w:szCs w:val="22"/>
        </w:rPr>
        <w:t>assessment</w:t>
      </w:r>
      <w:r w:rsidRPr="004C3896">
        <w:rPr>
          <w:sz w:val="22"/>
          <w:szCs w:val="22"/>
        </w:rPr>
        <w:t>.</w:t>
      </w:r>
    </w:p>
    <w:p w14:paraId="541165A1" w14:textId="6F47F9F7" w:rsidR="00D123B0" w:rsidRDefault="00D123B0" w:rsidP="00D123B0">
      <w:pPr>
        <w:pStyle w:val="Default"/>
        <w:spacing w:after="120"/>
        <w:rPr>
          <w:sz w:val="22"/>
          <w:szCs w:val="22"/>
        </w:rPr>
      </w:pPr>
      <w:r w:rsidRPr="004C3896">
        <w:rPr>
          <w:sz w:val="22"/>
          <w:szCs w:val="22"/>
        </w:rPr>
        <w:t xml:space="preserve">For more information about who can be a financial assessor, </w:t>
      </w:r>
      <w:r w:rsidR="00705043">
        <w:rPr>
          <w:sz w:val="22"/>
          <w:szCs w:val="22"/>
        </w:rPr>
        <w:t xml:space="preserve">farmers </w:t>
      </w:r>
      <w:r>
        <w:rPr>
          <w:sz w:val="22"/>
          <w:szCs w:val="22"/>
        </w:rPr>
        <w:t xml:space="preserve">should </w:t>
      </w:r>
      <w:r w:rsidRPr="004C3896">
        <w:rPr>
          <w:sz w:val="22"/>
          <w:szCs w:val="22"/>
        </w:rPr>
        <w:t xml:space="preserve">speak to </w:t>
      </w:r>
      <w:r>
        <w:rPr>
          <w:sz w:val="22"/>
          <w:szCs w:val="22"/>
        </w:rPr>
        <w:t xml:space="preserve">their </w:t>
      </w:r>
      <w:r w:rsidRPr="004C3896">
        <w:rPr>
          <w:sz w:val="22"/>
          <w:szCs w:val="22"/>
        </w:rPr>
        <w:t>FHCO.</w:t>
      </w:r>
      <w:r>
        <w:rPr>
          <w:sz w:val="22"/>
          <w:szCs w:val="22"/>
        </w:rPr>
        <w:t xml:space="preserve"> </w:t>
      </w:r>
    </w:p>
    <w:p w14:paraId="3A74C16F" w14:textId="374D6A8C" w:rsidR="00D123B0" w:rsidRDefault="00D123B0" w:rsidP="00D123B0">
      <w:pPr>
        <w:pStyle w:val="Default"/>
        <w:spacing w:after="120"/>
        <w:rPr>
          <w:sz w:val="22"/>
          <w:szCs w:val="22"/>
        </w:rPr>
      </w:pPr>
      <w:r>
        <w:rPr>
          <w:sz w:val="22"/>
          <w:szCs w:val="22"/>
        </w:rPr>
        <w:lastRenderedPageBreak/>
        <w:t xml:space="preserve">The FHCO will use the assessment to help the farmer develop a Financial Improvement Agreement. </w:t>
      </w:r>
    </w:p>
    <w:p w14:paraId="2C2D810A" w14:textId="77777777" w:rsidR="00D123B0" w:rsidRDefault="00D123B0" w:rsidP="00D123B0">
      <w:pPr>
        <w:pStyle w:val="Default"/>
        <w:spacing w:after="120"/>
        <w:rPr>
          <w:sz w:val="22"/>
          <w:szCs w:val="22"/>
        </w:rPr>
      </w:pPr>
      <w:r>
        <w:rPr>
          <w:sz w:val="22"/>
          <w:szCs w:val="22"/>
        </w:rPr>
        <w:t xml:space="preserve">The FHCO will also check in with the farmer and review their agreement every 3 months. This is to check the farmer is doing what they agreed to keep getting FHA. </w:t>
      </w:r>
    </w:p>
    <w:p w14:paraId="68BC1B92" w14:textId="77777777" w:rsidR="00D123B0" w:rsidRDefault="00D123B0" w:rsidP="00D123B0">
      <w:pPr>
        <w:pStyle w:val="Default"/>
        <w:spacing w:after="120"/>
        <w:rPr>
          <w:sz w:val="22"/>
          <w:szCs w:val="22"/>
        </w:rPr>
      </w:pPr>
      <w:r>
        <w:rPr>
          <w:sz w:val="22"/>
          <w:szCs w:val="22"/>
        </w:rPr>
        <w:t xml:space="preserve">Activity supplements help pay for training or advice listed in the agreement. </w:t>
      </w:r>
    </w:p>
    <w:p w14:paraId="137AA00F" w14:textId="2FFD5367" w:rsidR="00D123B0" w:rsidRPr="004C3896" w:rsidRDefault="00705043" w:rsidP="00D123B0">
      <w:pPr>
        <w:pStyle w:val="Default"/>
        <w:spacing w:after="120"/>
        <w:rPr>
          <w:sz w:val="22"/>
          <w:szCs w:val="22"/>
        </w:rPr>
      </w:pPr>
      <w:r>
        <w:rPr>
          <w:sz w:val="22"/>
          <w:szCs w:val="22"/>
        </w:rPr>
        <w:t>The farmer’s</w:t>
      </w:r>
      <w:r w:rsidRPr="004C3896">
        <w:rPr>
          <w:sz w:val="22"/>
          <w:szCs w:val="22"/>
        </w:rPr>
        <w:t xml:space="preserve"> </w:t>
      </w:r>
      <w:r w:rsidR="00D123B0" w:rsidRPr="004C3896">
        <w:rPr>
          <w:sz w:val="22"/>
          <w:szCs w:val="22"/>
        </w:rPr>
        <w:t>FHCO may also approve:</w:t>
      </w:r>
    </w:p>
    <w:p w14:paraId="625B2821" w14:textId="7A46FC2C" w:rsidR="00D123B0" w:rsidRPr="004C3896" w:rsidRDefault="00D123B0" w:rsidP="00D123B0">
      <w:pPr>
        <w:pStyle w:val="Default"/>
        <w:numPr>
          <w:ilvl w:val="0"/>
          <w:numId w:val="14"/>
        </w:numPr>
        <w:spacing w:after="120"/>
        <w:rPr>
          <w:sz w:val="22"/>
          <w:szCs w:val="22"/>
        </w:rPr>
      </w:pPr>
      <w:r w:rsidRPr="004C3896">
        <w:rPr>
          <w:sz w:val="22"/>
          <w:szCs w:val="22"/>
        </w:rPr>
        <w:t xml:space="preserve">activities to help </w:t>
      </w:r>
      <w:r w:rsidR="00705043">
        <w:rPr>
          <w:sz w:val="22"/>
          <w:szCs w:val="22"/>
        </w:rPr>
        <w:t>a</w:t>
      </w:r>
      <w:r w:rsidR="00705043" w:rsidRPr="004C3896">
        <w:rPr>
          <w:sz w:val="22"/>
          <w:szCs w:val="22"/>
        </w:rPr>
        <w:t xml:space="preserve"> </w:t>
      </w:r>
      <w:r w:rsidRPr="004C3896">
        <w:rPr>
          <w:sz w:val="22"/>
          <w:szCs w:val="22"/>
        </w:rPr>
        <w:t>move into another career</w:t>
      </w:r>
    </w:p>
    <w:p w14:paraId="5E1F5B2B" w14:textId="77777777" w:rsidR="00D123B0" w:rsidRPr="004C3896" w:rsidRDefault="00D123B0" w:rsidP="00D123B0">
      <w:pPr>
        <w:pStyle w:val="Default"/>
        <w:numPr>
          <w:ilvl w:val="0"/>
          <w:numId w:val="14"/>
        </w:numPr>
        <w:spacing w:after="120"/>
        <w:rPr>
          <w:sz w:val="22"/>
          <w:szCs w:val="22"/>
        </w:rPr>
      </w:pPr>
      <w:r w:rsidRPr="004C3896">
        <w:rPr>
          <w:sz w:val="22"/>
          <w:szCs w:val="22"/>
        </w:rPr>
        <w:t>counselling services</w:t>
      </w:r>
    </w:p>
    <w:p w14:paraId="73F97103" w14:textId="624552A7" w:rsidR="00D123B0" w:rsidRDefault="00D123B0" w:rsidP="00D123B0">
      <w:pPr>
        <w:pStyle w:val="Default"/>
        <w:numPr>
          <w:ilvl w:val="0"/>
          <w:numId w:val="14"/>
        </w:numPr>
        <w:spacing w:after="120"/>
        <w:rPr>
          <w:sz w:val="22"/>
          <w:szCs w:val="22"/>
        </w:rPr>
      </w:pPr>
      <w:r>
        <w:rPr>
          <w:sz w:val="22"/>
          <w:szCs w:val="22"/>
        </w:rPr>
        <w:t xml:space="preserve">reasonable </w:t>
      </w:r>
      <w:r w:rsidRPr="004C3896">
        <w:rPr>
          <w:sz w:val="22"/>
          <w:szCs w:val="22"/>
        </w:rPr>
        <w:t xml:space="preserve">travel and accommodation costs </w:t>
      </w:r>
      <w:r w:rsidR="0094034B">
        <w:rPr>
          <w:sz w:val="22"/>
          <w:szCs w:val="22"/>
        </w:rPr>
        <w:t>for</w:t>
      </w:r>
      <w:r w:rsidR="00FF53DB">
        <w:rPr>
          <w:sz w:val="22"/>
          <w:szCs w:val="22"/>
        </w:rPr>
        <w:t xml:space="preserve"> </w:t>
      </w:r>
      <w:r w:rsidR="00705043">
        <w:rPr>
          <w:sz w:val="22"/>
          <w:szCs w:val="22"/>
        </w:rPr>
        <w:t>farmers</w:t>
      </w:r>
      <w:r w:rsidR="00705043" w:rsidRPr="004C3896">
        <w:rPr>
          <w:sz w:val="22"/>
          <w:szCs w:val="22"/>
        </w:rPr>
        <w:t xml:space="preserve"> </w:t>
      </w:r>
      <w:r w:rsidR="0094034B">
        <w:rPr>
          <w:sz w:val="22"/>
          <w:szCs w:val="22"/>
        </w:rPr>
        <w:t>to undertake the approved</w:t>
      </w:r>
      <w:r w:rsidRPr="004C3896">
        <w:rPr>
          <w:sz w:val="22"/>
          <w:szCs w:val="22"/>
        </w:rPr>
        <w:t xml:space="preserve"> activity.</w:t>
      </w:r>
    </w:p>
    <w:p w14:paraId="43716B9D" w14:textId="038E385E" w:rsidR="00D123B0" w:rsidRDefault="00D123B0" w:rsidP="00D123B0">
      <w:pPr>
        <w:pStyle w:val="DHSBodytext"/>
        <w:spacing w:after="240"/>
      </w:pPr>
      <w:r>
        <w:t xml:space="preserve">A </w:t>
      </w:r>
      <w:r w:rsidR="00705043">
        <w:t xml:space="preserve">farmer </w:t>
      </w:r>
      <w:r>
        <w:t xml:space="preserve">should speak to their FHCO before starting the activity. The FHCO will tell them if they can pay for it with an activity supplement. </w:t>
      </w:r>
    </w:p>
    <w:p w14:paraId="713A32AF" w14:textId="0016A489" w:rsidR="00D123B0" w:rsidRDefault="00D123B0" w:rsidP="00D123B0">
      <w:pPr>
        <w:pStyle w:val="Default"/>
        <w:spacing w:after="120"/>
        <w:rPr>
          <w:sz w:val="32"/>
          <w:szCs w:val="32"/>
        </w:rPr>
      </w:pPr>
      <w:r>
        <w:rPr>
          <w:b/>
          <w:bCs/>
          <w:sz w:val="32"/>
          <w:szCs w:val="32"/>
        </w:rPr>
        <w:t xml:space="preserve">Who else farmers </w:t>
      </w:r>
      <w:r w:rsidR="00E646FE">
        <w:rPr>
          <w:b/>
          <w:bCs/>
          <w:sz w:val="32"/>
          <w:szCs w:val="32"/>
        </w:rPr>
        <w:t xml:space="preserve">can </w:t>
      </w:r>
      <w:r>
        <w:rPr>
          <w:b/>
          <w:bCs/>
          <w:sz w:val="32"/>
          <w:szCs w:val="32"/>
        </w:rPr>
        <w:t xml:space="preserve">contact </w:t>
      </w:r>
    </w:p>
    <w:p w14:paraId="60B75CCE" w14:textId="7FB2B9E4" w:rsidR="00D123B0" w:rsidRDefault="00D123B0" w:rsidP="00D123B0">
      <w:pPr>
        <w:pStyle w:val="Default"/>
        <w:spacing w:after="120"/>
        <w:rPr>
          <w:sz w:val="22"/>
          <w:szCs w:val="22"/>
        </w:rPr>
      </w:pPr>
      <w:r>
        <w:rPr>
          <w:sz w:val="22"/>
          <w:szCs w:val="22"/>
        </w:rPr>
        <w:t xml:space="preserve">Farmers and their partners can talk to the Rural Financial Counselling Service (RFCS). They give financial counselling to farmers in hardship. It’s free and can help with debt mediation and succession planning. </w:t>
      </w:r>
      <w:r w:rsidR="00086395" w:rsidRPr="16B03F03">
        <w:rPr>
          <w:sz w:val="22"/>
          <w:szCs w:val="22"/>
        </w:rPr>
        <w:t xml:space="preserve">They can also help farmers submit their completed claims for FHA and access other government and non-government support services. </w:t>
      </w:r>
    </w:p>
    <w:p w14:paraId="75704724" w14:textId="6E8900E8" w:rsidR="00D123B0" w:rsidRDefault="00D123B0" w:rsidP="00A50F21">
      <w:pPr>
        <w:autoSpaceDE w:val="0"/>
        <w:autoSpaceDN w:val="0"/>
        <w:adjustRightInd w:val="0"/>
        <w:spacing w:after="240"/>
      </w:pPr>
      <w:r w:rsidRPr="009C0493">
        <w:rPr>
          <w:rFonts w:ascii="Arial" w:eastAsiaTheme="minorHAnsi" w:hAnsi="Arial" w:cs="Arial"/>
          <w:color w:val="000000"/>
          <w:sz w:val="22"/>
          <w:szCs w:val="22"/>
          <w:lang w:eastAsia="en-US"/>
        </w:rPr>
        <w:t>Read more about the RFCS at</w:t>
      </w:r>
      <w:r w:rsidR="00E9508E">
        <w:rPr>
          <w:rFonts w:ascii="Arial" w:eastAsiaTheme="minorHAnsi" w:hAnsi="Arial" w:cs="Arial"/>
          <w:b/>
          <w:bCs/>
          <w:color w:val="000000"/>
          <w:sz w:val="22"/>
          <w:szCs w:val="22"/>
          <w:lang w:eastAsia="en-US"/>
        </w:rPr>
        <w:t xml:space="preserve"> </w:t>
      </w:r>
      <w:r w:rsidR="00E646FE" w:rsidRPr="00E646FE">
        <w:rPr>
          <w:rFonts w:ascii="Arial" w:eastAsiaTheme="minorHAnsi" w:hAnsi="Arial" w:cs="Arial"/>
          <w:b/>
          <w:bCs/>
          <w:color w:val="000000"/>
          <w:sz w:val="22"/>
          <w:szCs w:val="22"/>
          <w:lang w:eastAsia="en-US"/>
        </w:rPr>
        <w:t>agriculture.gov.au/</w:t>
      </w:r>
      <w:proofErr w:type="spellStart"/>
      <w:r w:rsidR="00E646FE" w:rsidRPr="00E646FE">
        <w:rPr>
          <w:rFonts w:ascii="Arial" w:eastAsiaTheme="minorHAnsi" w:hAnsi="Arial" w:cs="Arial"/>
          <w:b/>
          <w:bCs/>
          <w:color w:val="000000"/>
          <w:sz w:val="22"/>
          <w:szCs w:val="22"/>
          <w:lang w:eastAsia="en-US"/>
        </w:rPr>
        <w:t>rfcs</w:t>
      </w:r>
      <w:proofErr w:type="spellEnd"/>
      <w:r w:rsidR="00E646FE">
        <w:rPr>
          <w:rFonts w:ascii="Arial" w:eastAsiaTheme="minorHAnsi" w:hAnsi="Arial" w:cs="Arial"/>
          <w:b/>
          <w:bCs/>
          <w:color w:val="000000"/>
          <w:sz w:val="22"/>
          <w:szCs w:val="22"/>
          <w:lang w:eastAsia="en-US"/>
        </w:rPr>
        <w:t xml:space="preserve"> </w:t>
      </w:r>
      <w:r w:rsidRPr="00A50F21">
        <w:rPr>
          <w:rFonts w:ascii="Arial" w:eastAsiaTheme="minorHAnsi" w:hAnsi="Arial" w:cs="Arial"/>
          <w:color w:val="000000"/>
          <w:sz w:val="22"/>
          <w:szCs w:val="22"/>
          <w:lang w:eastAsia="en-US"/>
        </w:rPr>
        <w:t>or call</w:t>
      </w:r>
      <w:r>
        <w:t xml:space="preserve"> </w:t>
      </w:r>
      <w:r w:rsidR="009C0493" w:rsidRPr="00A50F21">
        <w:rPr>
          <w:rFonts w:ascii="Arial" w:eastAsiaTheme="minorHAnsi" w:hAnsi="Arial" w:cs="Arial"/>
          <w:b/>
          <w:bCs/>
          <w:color w:val="000000"/>
          <w:sz w:val="22"/>
          <w:szCs w:val="22"/>
          <w:lang w:eastAsia="en-US"/>
        </w:rPr>
        <w:t>1300 771 741</w:t>
      </w:r>
      <w:r>
        <w:t xml:space="preserve">. </w:t>
      </w:r>
    </w:p>
    <w:p w14:paraId="6F661707" w14:textId="77777777" w:rsidR="00D123B0" w:rsidRDefault="00D123B0" w:rsidP="00D123B0">
      <w:pPr>
        <w:pStyle w:val="Default"/>
        <w:spacing w:after="120"/>
        <w:rPr>
          <w:sz w:val="32"/>
          <w:szCs w:val="32"/>
        </w:rPr>
      </w:pPr>
      <w:r>
        <w:rPr>
          <w:b/>
          <w:bCs/>
          <w:sz w:val="32"/>
          <w:szCs w:val="32"/>
        </w:rPr>
        <w:t xml:space="preserve">When FHA ends </w:t>
      </w:r>
    </w:p>
    <w:p w14:paraId="3A8E5790" w14:textId="77777777" w:rsidR="00D123B0" w:rsidRDefault="00D123B0" w:rsidP="00D123B0">
      <w:pPr>
        <w:pStyle w:val="Default"/>
        <w:spacing w:after="120"/>
        <w:rPr>
          <w:sz w:val="22"/>
          <w:szCs w:val="22"/>
        </w:rPr>
      </w:pPr>
      <w:r>
        <w:rPr>
          <w:sz w:val="22"/>
          <w:szCs w:val="22"/>
        </w:rPr>
        <w:t xml:space="preserve">When the farmer and their partner complete their time on FHA, the FHCO can help connect them with other support. </w:t>
      </w:r>
    </w:p>
    <w:p w14:paraId="01C1F812" w14:textId="77777777" w:rsidR="00D123B0" w:rsidRDefault="00D123B0" w:rsidP="00D123B0">
      <w:pPr>
        <w:pStyle w:val="DHSBodytext"/>
        <w:spacing w:after="240"/>
      </w:pPr>
      <w:r>
        <w:t xml:space="preserve">Payment Finder can help them find payments they might be eligible for. Go to </w:t>
      </w:r>
      <w:r>
        <w:rPr>
          <w:b/>
          <w:bCs/>
        </w:rPr>
        <w:t>servicesaustralia.gov.au/</w:t>
      </w:r>
      <w:proofErr w:type="spellStart"/>
      <w:r>
        <w:rPr>
          <w:b/>
          <w:bCs/>
        </w:rPr>
        <w:t>paymentfinder</w:t>
      </w:r>
      <w:proofErr w:type="spellEnd"/>
      <w:r>
        <w:t xml:space="preserve"> </w:t>
      </w:r>
    </w:p>
    <w:p w14:paraId="09568C54" w14:textId="77777777" w:rsidR="00D123B0" w:rsidRDefault="00D123B0" w:rsidP="00D123B0">
      <w:pPr>
        <w:pStyle w:val="Default"/>
        <w:spacing w:after="120"/>
        <w:rPr>
          <w:sz w:val="32"/>
          <w:szCs w:val="32"/>
        </w:rPr>
      </w:pPr>
      <w:r>
        <w:rPr>
          <w:b/>
          <w:bCs/>
          <w:sz w:val="32"/>
          <w:szCs w:val="32"/>
        </w:rPr>
        <w:t xml:space="preserve">More information </w:t>
      </w:r>
    </w:p>
    <w:p w14:paraId="5852386D" w14:textId="6AD7A804" w:rsidR="00D123B0" w:rsidRDefault="00D123B0" w:rsidP="00D123B0">
      <w:pPr>
        <w:pStyle w:val="Default"/>
        <w:spacing w:after="120"/>
        <w:rPr>
          <w:sz w:val="22"/>
          <w:szCs w:val="22"/>
        </w:rPr>
      </w:pPr>
      <w:r>
        <w:rPr>
          <w:sz w:val="22"/>
          <w:szCs w:val="22"/>
        </w:rPr>
        <w:t xml:space="preserve">Go to </w:t>
      </w:r>
      <w:r>
        <w:rPr>
          <w:b/>
          <w:bCs/>
          <w:sz w:val="22"/>
          <w:szCs w:val="22"/>
        </w:rPr>
        <w:t>servicesaustralia.gov.au/</w:t>
      </w:r>
      <w:proofErr w:type="spellStart"/>
      <w:r>
        <w:rPr>
          <w:b/>
          <w:bCs/>
          <w:sz w:val="22"/>
          <w:szCs w:val="22"/>
        </w:rPr>
        <w:t>farmhouseholdallowance</w:t>
      </w:r>
      <w:proofErr w:type="spellEnd"/>
      <w:r>
        <w:rPr>
          <w:b/>
          <w:bCs/>
          <w:sz w:val="22"/>
          <w:szCs w:val="22"/>
        </w:rPr>
        <w:t xml:space="preserve"> </w:t>
      </w:r>
      <w:r>
        <w:rPr>
          <w:sz w:val="22"/>
          <w:szCs w:val="22"/>
        </w:rPr>
        <w:t xml:space="preserve">or call the Farmer Assistance Hotline on </w:t>
      </w:r>
      <w:r>
        <w:rPr>
          <w:b/>
          <w:bCs/>
          <w:sz w:val="22"/>
          <w:szCs w:val="22"/>
        </w:rPr>
        <w:t>132 316</w:t>
      </w:r>
      <w:r>
        <w:rPr>
          <w:sz w:val="22"/>
          <w:szCs w:val="22"/>
        </w:rPr>
        <w:t xml:space="preserve">, Monday to Friday, 8 am to </w:t>
      </w:r>
      <w:r w:rsidR="0003154E">
        <w:rPr>
          <w:sz w:val="22"/>
          <w:szCs w:val="22"/>
        </w:rPr>
        <w:t>5</w:t>
      </w:r>
      <w:r>
        <w:rPr>
          <w:sz w:val="22"/>
          <w:szCs w:val="22"/>
        </w:rPr>
        <w:t xml:space="preserve"> pm. </w:t>
      </w:r>
    </w:p>
    <w:p w14:paraId="654B8A1F" w14:textId="77777777" w:rsidR="00D123B0" w:rsidRDefault="00D123B0" w:rsidP="00D123B0">
      <w:pPr>
        <w:spacing w:after="120"/>
      </w:pPr>
      <w:r>
        <w:t>__________________________</w:t>
      </w:r>
    </w:p>
    <w:p w14:paraId="1DFEC4B2" w14:textId="77777777" w:rsidR="009635D0" w:rsidRDefault="009635D0" w:rsidP="006825DB">
      <w:pPr>
        <w:pStyle w:val="DHSBodytext"/>
      </w:pPr>
    </w:p>
    <w:p w14:paraId="51CC96B0" w14:textId="77777777" w:rsidR="009635D0" w:rsidRDefault="009635D0" w:rsidP="006825DB">
      <w:pPr>
        <w:pStyle w:val="DHSBodytext"/>
      </w:pPr>
    </w:p>
    <w:p w14:paraId="30BDB65B" w14:textId="77777777" w:rsidR="009635D0" w:rsidRPr="006825DB" w:rsidRDefault="009635D0" w:rsidP="006825DB">
      <w:pPr>
        <w:pStyle w:val="DHSBodytext"/>
      </w:pPr>
    </w:p>
    <w:sectPr w:rsidR="009635D0" w:rsidRPr="006825DB" w:rsidSect="00460A6D">
      <w:footerReference w:type="default" r:id="rId8"/>
      <w:headerReference w:type="first" r:id="rId9"/>
      <w:footerReference w:type="first" r:id="rId10"/>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BECC9" w14:textId="77777777" w:rsidR="00794D9C" w:rsidRDefault="00794D9C">
      <w:r>
        <w:separator/>
      </w:r>
    </w:p>
  </w:endnote>
  <w:endnote w:type="continuationSeparator" w:id="0">
    <w:p w14:paraId="02AB9635" w14:textId="77777777" w:rsidR="00794D9C" w:rsidRDefault="0079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9B3C7" w14:textId="6F3BF7C4" w:rsidR="007B4F51" w:rsidRPr="00FA7748" w:rsidRDefault="007B4F51" w:rsidP="00082A25">
    <w:pPr>
      <w:pStyle w:val="Footer"/>
      <w:tabs>
        <w:tab w:val="clear" w:pos="8306"/>
        <w:tab w:val="right" w:pos="9639"/>
      </w:tabs>
      <w:rPr>
        <w:rFonts w:ascii="Arial" w:hAnsi="Arial" w:cs="Arial"/>
        <w:color w:val="A6A6A6"/>
        <w:sz w:val="18"/>
        <w:szCs w:val="18"/>
      </w:rPr>
    </w:pPr>
    <w:r w:rsidRPr="000D0E18">
      <w:rPr>
        <w:rFonts w:ascii="Arial" w:hAnsi="Arial" w:cs="Arial"/>
        <w:color w:val="999999"/>
        <w:sz w:val="18"/>
        <w:szCs w:val="18"/>
      </w:rPr>
      <w:t xml:space="preserve">PAGE </w:t>
    </w:r>
    <w:r w:rsidRPr="000D0E18">
      <w:rPr>
        <w:rFonts w:ascii="Arial" w:hAnsi="Arial" w:cs="Arial"/>
        <w:color w:val="999999"/>
        <w:sz w:val="18"/>
        <w:szCs w:val="18"/>
      </w:rPr>
      <w:fldChar w:fldCharType="begin"/>
    </w:r>
    <w:r w:rsidRPr="000D0E18">
      <w:rPr>
        <w:rFonts w:ascii="Arial" w:hAnsi="Arial" w:cs="Arial"/>
        <w:color w:val="999999"/>
        <w:sz w:val="18"/>
        <w:szCs w:val="18"/>
      </w:rPr>
      <w:instrText xml:space="preserve"> PAGE </w:instrText>
    </w:r>
    <w:r w:rsidRPr="000D0E18">
      <w:rPr>
        <w:rFonts w:ascii="Arial" w:hAnsi="Arial" w:cs="Arial"/>
        <w:color w:val="999999"/>
        <w:sz w:val="18"/>
        <w:szCs w:val="18"/>
      </w:rPr>
      <w:fldChar w:fldCharType="separate"/>
    </w:r>
    <w:r w:rsidR="00095461">
      <w:rPr>
        <w:rFonts w:ascii="Arial" w:hAnsi="Arial" w:cs="Arial"/>
        <w:noProof/>
        <w:color w:val="999999"/>
        <w:sz w:val="18"/>
        <w:szCs w:val="18"/>
      </w:rPr>
      <w:t>2</w:t>
    </w:r>
    <w:r w:rsidRPr="000D0E18">
      <w:rPr>
        <w:rFonts w:ascii="Arial" w:hAnsi="Arial" w:cs="Arial"/>
        <w:color w:val="999999"/>
        <w:sz w:val="18"/>
        <w:szCs w:val="18"/>
      </w:rPr>
      <w:fldChar w:fldCharType="end"/>
    </w:r>
    <w:r w:rsidRPr="000D0E18">
      <w:rPr>
        <w:rFonts w:ascii="Arial" w:hAnsi="Arial" w:cs="Arial"/>
        <w:color w:val="999999"/>
        <w:sz w:val="18"/>
        <w:szCs w:val="18"/>
      </w:rPr>
      <w:t xml:space="preserve"> OF </w:t>
    </w:r>
    <w:r w:rsidRPr="000D0E18">
      <w:rPr>
        <w:rFonts w:ascii="Arial" w:hAnsi="Arial" w:cs="Arial"/>
        <w:color w:val="999999"/>
        <w:sz w:val="18"/>
        <w:szCs w:val="18"/>
      </w:rPr>
      <w:fldChar w:fldCharType="begin"/>
    </w:r>
    <w:r w:rsidRPr="000D0E18">
      <w:rPr>
        <w:rFonts w:ascii="Arial" w:hAnsi="Arial" w:cs="Arial"/>
        <w:color w:val="999999"/>
        <w:sz w:val="18"/>
        <w:szCs w:val="18"/>
      </w:rPr>
      <w:instrText xml:space="preserve"> NUMPAGES </w:instrText>
    </w:r>
    <w:r w:rsidRPr="000D0E18">
      <w:rPr>
        <w:rFonts w:ascii="Arial" w:hAnsi="Arial" w:cs="Arial"/>
        <w:color w:val="999999"/>
        <w:sz w:val="18"/>
        <w:szCs w:val="18"/>
      </w:rPr>
      <w:fldChar w:fldCharType="separate"/>
    </w:r>
    <w:r w:rsidR="00095461">
      <w:rPr>
        <w:rFonts w:ascii="Arial" w:hAnsi="Arial" w:cs="Arial"/>
        <w:noProof/>
        <w:color w:val="999999"/>
        <w:sz w:val="18"/>
        <w:szCs w:val="18"/>
      </w:rPr>
      <w:t>2</w:t>
    </w:r>
    <w:r w:rsidRPr="000D0E18">
      <w:rPr>
        <w:rFonts w:ascii="Arial" w:hAnsi="Arial" w:cs="Arial"/>
        <w:color w:val="999999"/>
        <w:sz w:val="18"/>
        <w:szCs w:val="18"/>
      </w:rPr>
      <w:fldChar w:fldCharType="end"/>
    </w:r>
    <w:r>
      <w:rPr>
        <w:rFonts w:ascii="Arial" w:hAnsi="Arial" w:cs="Arial"/>
        <w:color w:val="999999"/>
        <w:sz w:val="18"/>
        <w:szCs w:val="18"/>
      </w:rPr>
      <w:tab/>
    </w:r>
    <w:r>
      <w:rPr>
        <w:rFonts w:ascii="Arial" w:hAnsi="Arial" w:cs="Arial"/>
        <w:color w:val="999999"/>
        <w:sz w:val="18"/>
        <w:szCs w:val="18"/>
      </w:rPr>
      <w:tab/>
    </w:r>
    <w:r w:rsidRPr="00FA7748">
      <w:rPr>
        <w:rFonts w:ascii="Arial" w:hAnsi="Arial" w:cs="Arial"/>
        <w:color w:val="A6A6A6"/>
        <w:sz w:val="18"/>
        <w:szCs w:val="18"/>
      </w:rPr>
      <w:t>Services</w:t>
    </w:r>
    <w:r w:rsidR="009635D0">
      <w:rPr>
        <w:rFonts w:ascii="Arial" w:hAnsi="Arial" w:cs="Arial"/>
        <w:color w:val="A6A6A6"/>
        <w:sz w:val="18"/>
        <w:szCs w:val="18"/>
      </w:rPr>
      <w:t xml:space="preserve"> Australia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A8596" w14:textId="4AFA797E" w:rsidR="00D123B0" w:rsidRPr="00D123B0" w:rsidRDefault="00D123B0">
    <w:pPr>
      <w:pStyle w:val="Footer"/>
      <w:jc w:val="center"/>
      <w:rPr>
        <w:rFonts w:asciiTheme="minorHAnsi" w:hAnsiTheme="minorHAnsi" w:cstheme="minorHAnsi"/>
      </w:rPr>
    </w:pPr>
    <w:r w:rsidRPr="00D123B0">
      <w:rPr>
        <w:rFonts w:asciiTheme="minorHAnsi" w:hAnsiTheme="minorHAnsi" w:cstheme="minorHAnsi"/>
      </w:rPr>
      <w:t xml:space="preserve">Page </w:t>
    </w:r>
    <w:r w:rsidRPr="00D123B0">
      <w:rPr>
        <w:rFonts w:asciiTheme="minorHAnsi" w:hAnsiTheme="minorHAnsi" w:cstheme="minorHAnsi"/>
        <w:b/>
        <w:bCs/>
      </w:rPr>
      <w:fldChar w:fldCharType="begin"/>
    </w:r>
    <w:r w:rsidRPr="00D123B0">
      <w:rPr>
        <w:rFonts w:asciiTheme="minorHAnsi" w:hAnsiTheme="minorHAnsi" w:cstheme="minorHAnsi"/>
        <w:b/>
        <w:bCs/>
      </w:rPr>
      <w:instrText xml:space="preserve"> PAGE </w:instrText>
    </w:r>
    <w:r w:rsidRPr="00D123B0">
      <w:rPr>
        <w:rFonts w:asciiTheme="minorHAnsi" w:hAnsiTheme="minorHAnsi" w:cstheme="minorHAnsi"/>
        <w:b/>
        <w:bCs/>
      </w:rPr>
      <w:fldChar w:fldCharType="separate"/>
    </w:r>
    <w:r w:rsidR="00095461">
      <w:rPr>
        <w:rFonts w:asciiTheme="minorHAnsi" w:hAnsiTheme="minorHAnsi" w:cstheme="minorHAnsi"/>
        <w:b/>
        <w:bCs/>
        <w:noProof/>
      </w:rPr>
      <w:t>1</w:t>
    </w:r>
    <w:r w:rsidRPr="00D123B0">
      <w:rPr>
        <w:rFonts w:asciiTheme="minorHAnsi" w:hAnsiTheme="minorHAnsi" w:cstheme="minorHAnsi"/>
        <w:b/>
        <w:bCs/>
      </w:rPr>
      <w:fldChar w:fldCharType="end"/>
    </w:r>
    <w:r w:rsidRPr="00D123B0">
      <w:rPr>
        <w:rFonts w:asciiTheme="minorHAnsi" w:hAnsiTheme="minorHAnsi" w:cstheme="minorHAnsi"/>
      </w:rPr>
      <w:t xml:space="preserve"> of </w:t>
    </w:r>
    <w:r w:rsidRPr="00D123B0">
      <w:rPr>
        <w:rFonts w:asciiTheme="minorHAnsi" w:hAnsiTheme="minorHAnsi" w:cstheme="minorHAnsi"/>
        <w:b/>
        <w:bCs/>
      </w:rPr>
      <w:fldChar w:fldCharType="begin"/>
    </w:r>
    <w:r w:rsidRPr="00D123B0">
      <w:rPr>
        <w:rFonts w:asciiTheme="minorHAnsi" w:hAnsiTheme="minorHAnsi" w:cstheme="minorHAnsi"/>
        <w:b/>
        <w:bCs/>
      </w:rPr>
      <w:instrText xml:space="preserve"> NUMPAGES  </w:instrText>
    </w:r>
    <w:r w:rsidRPr="00D123B0">
      <w:rPr>
        <w:rFonts w:asciiTheme="minorHAnsi" w:hAnsiTheme="minorHAnsi" w:cstheme="minorHAnsi"/>
        <w:b/>
        <w:bCs/>
      </w:rPr>
      <w:fldChar w:fldCharType="separate"/>
    </w:r>
    <w:r w:rsidR="00095461">
      <w:rPr>
        <w:rFonts w:asciiTheme="minorHAnsi" w:hAnsiTheme="minorHAnsi" w:cstheme="minorHAnsi"/>
        <w:b/>
        <w:bCs/>
        <w:noProof/>
      </w:rPr>
      <w:t>2</w:t>
    </w:r>
    <w:r w:rsidRPr="00D123B0">
      <w:rPr>
        <w:rFonts w:asciiTheme="minorHAnsi" w:hAnsiTheme="minorHAnsi" w:cstheme="minorHAnsi"/>
        <w:b/>
        <w:bCs/>
      </w:rPr>
      <w:fldChar w:fldCharType="end"/>
    </w:r>
  </w:p>
  <w:p w14:paraId="7933AD1F" w14:textId="77777777" w:rsidR="007B4F51" w:rsidRDefault="007B4F51" w:rsidP="008457BC">
    <w:pPr>
      <w:pStyle w:val="Footer"/>
      <w:tabs>
        <w:tab w:val="clear" w:pos="8306"/>
      </w:tabs>
      <w:ind w:right="-56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AE242" w14:textId="77777777" w:rsidR="00794D9C" w:rsidRDefault="00794D9C">
      <w:r>
        <w:separator/>
      </w:r>
    </w:p>
  </w:footnote>
  <w:footnote w:type="continuationSeparator" w:id="0">
    <w:p w14:paraId="286C44B2" w14:textId="77777777" w:rsidR="00794D9C" w:rsidRDefault="00794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E74A5" w14:textId="77777777" w:rsidR="007B4F51" w:rsidRDefault="00244CA1" w:rsidP="00E31B70">
    <w:pPr>
      <w:pStyle w:val="Header"/>
      <w:ind w:left="-567"/>
    </w:pPr>
    <w:r>
      <w:rPr>
        <w:noProof/>
      </w:rPr>
      <w:drawing>
        <wp:inline distT="0" distB="0" distL="0" distR="0" wp14:anchorId="256F3317" wp14:editId="3607CE66">
          <wp:extent cx="2236484" cy="610716"/>
          <wp:effectExtent l="0" t="0" r="0" b="0"/>
          <wp:docPr id="2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9717FF"/>
    <w:multiLevelType w:val="hybridMultilevel"/>
    <w:tmpl w:val="AB0EA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D5A6DE7"/>
    <w:multiLevelType w:val="hybridMultilevel"/>
    <w:tmpl w:val="FEA4A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F2412A1"/>
    <w:multiLevelType w:val="hybridMultilevel"/>
    <w:tmpl w:val="37040258"/>
    <w:lvl w:ilvl="0" w:tplc="415CCEE0">
      <w:start w:val="1"/>
      <w:numFmt w:val="bullet"/>
      <w:pStyle w:val="DHSBulletslevel2"/>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35A5207"/>
    <w:multiLevelType w:val="hybridMultilevel"/>
    <w:tmpl w:val="E102AFF0"/>
    <w:lvl w:ilvl="0" w:tplc="0C462F74">
      <w:start w:val="1"/>
      <w:numFmt w:val="decimal"/>
      <w:pStyle w:val="DHS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9" w15:restartNumberingAfterBreak="0">
    <w:nsid w:val="6AB31082"/>
    <w:multiLevelType w:val="hybridMultilevel"/>
    <w:tmpl w:val="72FA6812"/>
    <w:lvl w:ilvl="0" w:tplc="E0AA65B6">
      <w:start w:val="1"/>
      <w:numFmt w:val="bullet"/>
      <w:pStyle w:val="DHSBulletslevel"/>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E84A7C"/>
    <w:multiLevelType w:val="hybridMultilevel"/>
    <w:tmpl w:val="7BC23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4343E8"/>
    <w:multiLevelType w:val="hybridMultilevel"/>
    <w:tmpl w:val="C658C410"/>
    <w:lvl w:ilvl="0" w:tplc="6408EF10">
      <w:start w:val="1"/>
      <w:numFmt w:val="lowerLetter"/>
      <w:pStyle w:val="DHS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1939411952">
    <w:abstractNumId w:val="13"/>
  </w:num>
  <w:num w:numId="2" w16cid:durableId="1159812866">
    <w:abstractNumId w:val="1"/>
  </w:num>
  <w:num w:numId="3" w16cid:durableId="2116627546">
    <w:abstractNumId w:val="11"/>
  </w:num>
  <w:num w:numId="4" w16cid:durableId="2036423215">
    <w:abstractNumId w:val="2"/>
  </w:num>
  <w:num w:numId="5" w16cid:durableId="1963727386">
    <w:abstractNumId w:val="9"/>
  </w:num>
  <w:num w:numId="6" w16cid:durableId="1394815171">
    <w:abstractNumId w:val="5"/>
  </w:num>
  <w:num w:numId="7" w16cid:durableId="343363990">
    <w:abstractNumId w:val="8"/>
  </w:num>
  <w:num w:numId="8" w16cid:durableId="2002586199">
    <w:abstractNumId w:val="12"/>
  </w:num>
  <w:num w:numId="9" w16cid:durableId="1810900508">
    <w:abstractNumId w:val="6"/>
  </w:num>
  <w:num w:numId="10" w16cid:durableId="2087991037">
    <w:abstractNumId w:val="7"/>
  </w:num>
  <w:num w:numId="11" w16cid:durableId="1580555776">
    <w:abstractNumId w:val="0"/>
  </w:num>
  <w:num w:numId="12" w16cid:durableId="516820108">
    <w:abstractNumId w:val="3"/>
  </w:num>
  <w:num w:numId="13" w16cid:durableId="635187485">
    <w:abstractNumId w:val="4"/>
  </w:num>
  <w:num w:numId="14" w16cid:durableId="12723987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D0"/>
    <w:rsid w:val="00026916"/>
    <w:rsid w:val="0003154E"/>
    <w:rsid w:val="0004023F"/>
    <w:rsid w:val="00041A39"/>
    <w:rsid w:val="00062997"/>
    <w:rsid w:val="0007005E"/>
    <w:rsid w:val="00082A25"/>
    <w:rsid w:val="00082BAD"/>
    <w:rsid w:val="00086395"/>
    <w:rsid w:val="00086EA1"/>
    <w:rsid w:val="00095461"/>
    <w:rsid w:val="000B162A"/>
    <w:rsid w:val="000B6B96"/>
    <w:rsid w:val="000C6C57"/>
    <w:rsid w:val="000D0E18"/>
    <w:rsid w:val="000F770A"/>
    <w:rsid w:val="00112F82"/>
    <w:rsid w:val="001240E8"/>
    <w:rsid w:val="001369C0"/>
    <w:rsid w:val="001A1B66"/>
    <w:rsid w:val="001A4EB0"/>
    <w:rsid w:val="001D1F61"/>
    <w:rsid w:val="001D4174"/>
    <w:rsid w:val="001D6B90"/>
    <w:rsid w:val="001E6CFA"/>
    <w:rsid w:val="001F7324"/>
    <w:rsid w:val="00244CA1"/>
    <w:rsid w:val="00284ADE"/>
    <w:rsid w:val="00290FA5"/>
    <w:rsid w:val="002A354D"/>
    <w:rsid w:val="002B3A00"/>
    <w:rsid w:val="002B66E2"/>
    <w:rsid w:val="002C19E4"/>
    <w:rsid w:val="00300015"/>
    <w:rsid w:val="00304BB1"/>
    <w:rsid w:val="00310007"/>
    <w:rsid w:val="00331A5E"/>
    <w:rsid w:val="00376114"/>
    <w:rsid w:val="0038253F"/>
    <w:rsid w:val="003A012C"/>
    <w:rsid w:val="003A53A0"/>
    <w:rsid w:val="003B453F"/>
    <w:rsid w:val="003E56A1"/>
    <w:rsid w:val="003F72E8"/>
    <w:rsid w:val="00414BF8"/>
    <w:rsid w:val="004203AA"/>
    <w:rsid w:val="00426CFE"/>
    <w:rsid w:val="00432428"/>
    <w:rsid w:val="00446AB7"/>
    <w:rsid w:val="004506AC"/>
    <w:rsid w:val="00460A6D"/>
    <w:rsid w:val="004E0DA8"/>
    <w:rsid w:val="00504AA8"/>
    <w:rsid w:val="00507EB2"/>
    <w:rsid w:val="00516D40"/>
    <w:rsid w:val="005348A3"/>
    <w:rsid w:val="005423AB"/>
    <w:rsid w:val="00547413"/>
    <w:rsid w:val="00571396"/>
    <w:rsid w:val="00571C3F"/>
    <w:rsid w:val="00573C0E"/>
    <w:rsid w:val="005844B9"/>
    <w:rsid w:val="005C738D"/>
    <w:rsid w:val="005C7D3C"/>
    <w:rsid w:val="00601AE0"/>
    <w:rsid w:val="00622896"/>
    <w:rsid w:val="006720E4"/>
    <w:rsid w:val="0067371F"/>
    <w:rsid w:val="0067669C"/>
    <w:rsid w:val="006825DB"/>
    <w:rsid w:val="00685C7C"/>
    <w:rsid w:val="006964A3"/>
    <w:rsid w:val="006D58AC"/>
    <w:rsid w:val="006E7E78"/>
    <w:rsid w:val="00705043"/>
    <w:rsid w:val="00715039"/>
    <w:rsid w:val="00756927"/>
    <w:rsid w:val="00772C06"/>
    <w:rsid w:val="00794D9C"/>
    <w:rsid w:val="007A117E"/>
    <w:rsid w:val="007B4F51"/>
    <w:rsid w:val="007F4F9F"/>
    <w:rsid w:val="00801D1A"/>
    <w:rsid w:val="008457BC"/>
    <w:rsid w:val="00863A82"/>
    <w:rsid w:val="00873080"/>
    <w:rsid w:val="0087534C"/>
    <w:rsid w:val="008968B7"/>
    <w:rsid w:val="008C65B7"/>
    <w:rsid w:val="00907D7A"/>
    <w:rsid w:val="009174A0"/>
    <w:rsid w:val="00923854"/>
    <w:rsid w:val="00932AA3"/>
    <w:rsid w:val="0094034B"/>
    <w:rsid w:val="00943BBB"/>
    <w:rsid w:val="009635D0"/>
    <w:rsid w:val="00965631"/>
    <w:rsid w:val="0097065D"/>
    <w:rsid w:val="009905A7"/>
    <w:rsid w:val="00995023"/>
    <w:rsid w:val="009A0930"/>
    <w:rsid w:val="009A099C"/>
    <w:rsid w:val="009C0493"/>
    <w:rsid w:val="009C4BFC"/>
    <w:rsid w:val="009E1E1B"/>
    <w:rsid w:val="009E3B3A"/>
    <w:rsid w:val="00A16C8F"/>
    <w:rsid w:val="00A3536B"/>
    <w:rsid w:val="00A50F21"/>
    <w:rsid w:val="00A52AE3"/>
    <w:rsid w:val="00A848C2"/>
    <w:rsid w:val="00AC34FD"/>
    <w:rsid w:val="00AE0688"/>
    <w:rsid w:val="00AF4424"/>
    <w:rsid w:val="00B362B6"/>
    <w:rsid w:val="00B46C32"/>
    <w:rsid w:val="00B613DB"/>
    <w:rsid w:val="00B86E2B"/>
    <w:rsid w:val="00B9008C"/>
    <w:rsid w:val="00BB2638"/>
    <w:rsid w:val="00BB7DE5"/>
    <w:rsid w:val="00BF06E8"/>
    <w:rsid w:val="00C021DC"/>
    <w:rsid w:val="00C025D8"/>
    <w:rsid w:val="00C15DA5"/>
    <w:rsid w:val="00C207C1"/>
    <w:rsid w:val="00C24050"/>
    <w:rsid w:val="00C27EAD"/>
    <w:rsid w:val="00C3655F"/>
    <w:rsid w:val="00C46EFA"/>
    <w:rsid w:val="00C60743"/>
    <w:rsid w:val="00C74B43"/>
    <w:rsid w:val="00C87853"/>
    <w:rsid w:val="00CB4F98"/>
    <w:rsid w:val="00CE56A0"/>
    <w:rsid w:val="00D06118"/>
    <w:rsid w:val="00D123B0"/>
    <w:rsid w:val="00D13062"/>
    <w:rsid w:val="00D14B82"/>
    <w:rsid w:val="00D15B45"/>
    <w:rsid w:val="00D220CD"/>
    <w:rsid w:val="00D95C6D"/>
    <w:rsid w:val="00DB7DD8"/>
    <w:rsid w:val="00DC3C23"/>
    <w:rsid w:val="00DC5DAD"/>
    <w:rsid w:val="00DD49A2"/>
    <w:rsid w:val="00DD517B"/>
    <w:rsid w:val="00DE29B5"/>
    <w:rsid w:val="00DF60DB"/>
    <w:rsid w:val="00E076AE"/>
    <w:rsid w:val="00E277F4"/>
    <w:rsid w:val="00E31B70"/>
    <w:rsid w:val="00E3492B"/>
    <w:rsid w:val="00E409B0"/>
    <w:rsid w:val="00E5725A"/>
    <w:rsid w:val="00E63EC2"/>
    <w:rsid w:val="00E646FE"/>
    <w:rsid w:val="00E768D0"/>
    <w:rsid w:val="00E92AE6"/>
    <w:rsid w:val="00E9508E"/>
    <w:rsid w:val="00EA2350"/>
    <w:rsid w:val="00EE78F0"/>
    <w:rsid w:val="00F17318"/>
    <w:rsid w:val="00F30097"/>
    <w:rsid w:val="00F34E10"/>
    <w:rsid w:val="00F52EB5"/>
    <w:rsid w:val="00F8091B"/>
    <w:rsid w:val="00F85641"/>
    <w:rsid w:val="00FA7748"/>
    <w:rsid w:val="00FB1511"/>
    <w:rsid w:val="00FC3645"/>
    <w:rsid w:val="00FE7295"/>
    <w:rsid w:val="00FF53DB"/>
    <w:rsid w:val="21B019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98D0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rsid w:val="00C207C1"/>
    <w:rPr>
      <w:sz w:val="24"/>
      <w:szCs w:val="24"/>
    </w:rPr>
  </w:style>
  <w:style w:type="paragraph" w:styleId="Heading1">
    <w:name w:val="heading 1"/>
    <w:basedOn w:val="Normal"/>
    <w:next w:val="Normal"/>
    <w:link w:val="Heading1Char"/>
    <w:semiHidden/>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link w:val="FooterChar"/>
    <w:uiPriority w:val="99"/>
    <w:rsid w:val="00290FA5"/>
    <w:pPr>
      <w:tabs>
        <w:tab w:val="center" w:pos="4153"/>
        <w:tab w:val="right" w:pos="8306"/>
      </w:tabs>
    </w:pPr>
  </w:style>
  <w:style w:type="paragraph" w:customStyle="1" w:styleId="DHSHeadinglevel1">
    <w:name w:val="DHS Heading level 1"/>
    <w:basedOn w:val="Heading1"/>
    <w:next w:val="DHSBodytext"/>
    <w:qFormat/>
    <w:rsid w:val="00995023"/>
    <w:pPr>
      <w:spacing w:before="60" w:after="240"/>
    </w:pPr>
    <w:rPr>
      <w:rFonts w:ascii="Arial" w:hAnsi="Arial" w:cs="Arial"/>
      <w:sz w:val="40"/>
      <w:szCs w:val="40"/>
    </w:rPr>
  </w:style>
  <w:style w:type="paragraph" w:customStyle="1" w:styleId="DHSHeadinglevel2">
    <w:name w:val="DHS Heading level 2"/>
    <w:basedOn w:val="Heading2"/>
    <w:next w:val="DHSBodytext"/>
    <w:qFormat/>
    <w:rsid w:val="00995023"/>
    <w:pPr>
      <w:spacing w:before="60" w:after="240"/>
    </w:pPr>
    <w:rPr>
      <w:rFonts w:ascii="Arial" w:hAnsi="Arial" w:cs="Arial"/>
      <w:i w:val="0"/>
      <w:color w:val="000000"/>
      <w:sz w:val="32"/>
    </w:rPr>
  </w:style>
  <w:style w:type="paragraph" w:customStyle="1" w:styleId="DHSHeadinglevel3">
    <w:name w:val="DHS Heading level 3"/>
    <w:basedOn w:val="Heading3"/>
    <w:next w:val="DHSBodytext"/>
    <w:qFormat/>
    <w:rsid w:val="00995023"/>
    <w:pPr>
      <w:spacing w:before="60" w:after="120"/>
    </w:pPr>
    <w:rPr>
      <w:rFonts w:ascii="Arial" w:hAnsi="Arial" w:cs="Arial"/>
      <w:b w:val="0"/>
      <w:sz w:val="28"/>
    </w:rPr>
  </w:style>
  <w:style w:type="paragraph" w:customStyle="1" w:styleId="DHSHeadinglevel4">
    <w:name w:val="DHS Heading level 4"/>
    <w:basedOn w:val="Heading4"/>
    <w:next w:val="DHSBodytext"/>
    <w:qFormat/>
    <w:rsid w:val="00995023"/>
    <w:pPr>
      <w:spacing w:before="60" w:after="120"/>
    </w:pPr>
    <w:rPr>
      <w:rFonts w:ascii="Arial" w:hAnsi="Arial" w:cs="Arial"/>
      <w:b w:val="0"/>
      <w:sz w:val="24"/>
      <w:szCs w:val="22"/>
    </w:rPr>
  </w:style>
  <w:style w:type="paragraph" w:customStyle="1" w:styleId="DHSBodytext">
    <w:name w:val="DHS Body text"/>
    <w:basedOn w:val="Normal"/>
    <w:qFormat/>
    <w:rsid w:val="00C025D8"/>
    <w:pPr>
      <w:spacing w:after="120"/>
    </w:pPr>
    <w:rPr>
      <w:rFonts w:ascii="Arial" w:hAnsi="Arial" w:cs="Arial"/>
      <w:sz w:val="22"/>
      <w:szCs w:val="22"/>
    </w:rPr>
  </w:style>
  <w:style w:type="paragraph" w:customStyle="1" w:styleId="DHSBulletslevel2">
    <w:name w:val="DHS Bullets level 2"/>
    <w:basedOn w:val="Normal"/>
    <w:qFormat/>
    <w:rsid w:val="00F85641"/>
    <w:pPr>
      <w:numPr>
        <w:numId w:val="6"/>
      </w:numPr>
      <w:spacing w:after="120"/>
      <w:ind w:left="680" w:hanging="340"/>
    </w:pPr>
    <w:rPr>
      <w:rFonts w:ascii="Arial" w:hAnsi="Arial" w:cs="Arial"/>
      <w:sz w:val="22"/>
      <w:szCs w:val="22"/>
    </w:r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character" w:styleId="Hyperlink">
    <w:name w:val="Hyperlink"/>
    <w:rsid w:val="009E3B3A"/>
    <w:rPr>
      <w:color w:val="0000FF"/>
      <w:u w:val="single"/>
    </w:rPr>
  </w:style>
  <w:style w:type="paragraph" w:customStyle="1" w:styleId="DHSNumberslevel1">
    <w:name w:val="DHS Numbers level 1"/>
    <w:basedOn w:val="Normal"/>
    <w:qFormat/>
    <w:rsid w:val="00F85641"/>
    <w:pPr>
      <w:numPr>
        <w:numId w:val="7"/>
      </w:numPr>
      <w:spacing w:after="120"/>
      <w:ind w:left="357" w:hanging="357"/>
    </w:pPr>
    <w:rPr>
      <w:rFonts w:ascii="Arial" w:hAnsi="Arial" w:cs="Arial"/>
      <w:sz w:val="22"/>
      <w:szCs w:val="22"/>
    </w:rPr>
  </w:style>
  <w:style w:type="paragraph" w:customStyle="1" w:styleId="DHSNumberslevel2">
    <w:name w:val="DHS Numbers level 2"/>
    <w:basedOn w:val="DHSNumberslevel1"/>
    <w:qFormat/>
    <w:rsid w:val="00772C06"/>
    <w:pPr>
      <w:numPr>
        <w:numId w:val="8"/>
      </w:numPr>
      <w:ind w:left="680" w:hanging="340"/>
    </w:pPr>
  </w:style>
  <w:style w:type="character" w:customStyle="1" w:styleId="Heading1Char">
    <w:name w:val="Heading 1 Char"/>
    <w:link w:val="Heading1"/>
    <w:semiHidden/>
    <w:rsid w:val="00C207C1"/>
    <w:rPr>
      <w:rFonts w:ascii="Cambria" w:hAnsi="Cambria"/>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DHSBulletslevel">
    <w:name w:val="DHS Bullets level"/>
    <w:basedOn w:val="Normal"/>
    <w:qFormat/>
    <w:rsid w:val="00F85641"/>
    <w:pPr>
      <w:numPr>
        <w:numId w:val="5"/>
      </w:numPr>
      <w:spacing w:after="120"/>
    </w:pPr>
    <w:rPr>
      <w:rFonts w:ascii="Arial" w:hAnsi="Arial" w:cs="Arial"/>
      <w:sz w:val="22"/>
      <w:szCs w:val="22"/>
    </w:rPr>
  </w:style>
  <w:style w:type="paragraph" w:customStyle="1" w:styleId="Default">
    <w:name w:val="Default"/>
    <w:rsid w:val="00D123B0"/>
    <w:pPr>
      <w:autoSpaceDE w:val="0"/>
      <w:autoSpaceDN w:val="0"/>
      <w:adjustRightInd w:val="0"/>
    </w:pPr>
    <w:rPr>
      <w:rFonts w:ascii="Arial" w:eastAsiaTheme="minorHAnsi" w:hAnsi="Arial" w:cs="Arial"/>
      <w:color w:val="000000"/>
      <w:sz w:val="24"/>
      <w:szCs w:val="24"/>
      <w:lang w:eastAsia="en-US"/>
    </w:rPr>
  </w:style>
  <w:style w:type="character" w:customStyle="1" w:styleId="FooterChar">
    <w:name w:val="Footer Char"/>
    <w:basedOn w:val="DefaultParagraphFont"/>
    <w:link w:val="Footer"/>
    <w:uiPriority w:val="99"/>
    <w:rsid w:val="00D123B0"/>
    <w:rPr>
      <w:sz w:val="24"/>
      <w:szCs w:val="24"/>
    </w:rPr>
  </w:style>
  <w:style w:type="character" w:styleId="CommentReference">
    <w:name w:val="annotation reference"/>
    <w:basedOn w:val="DefaultParagraphFont"/>
    <w:rsid w:val="0007005E"/>
    <w:rPr>
      <w:sz w:val="16"/>
      <w:szCs w:val="16"/>
    </w:rPr>
  </w:style>
  <w:style w:type="paragraph" w:styleId="CommentText">
    <w:name w:val="annotation text"/>
    <w:basedOn w:val="Normal"/>
    <w:link w:val="CommentTextChar"/>
    <w:rsid w:val="0007005E"/>
    <w:rPr>
      <w:sz w:val="20"/>
      <w:szCs w:val="20"/>
    </w:rPr>
  </w:style>
  <w:style w:type="character" w:customStyle="1" w:styleId="CommentTextChar">
    <w:name w:val="Comment Text Char"/>
    <w:basedOn w:val="DefaultParagraphFont"/>
    <w:link w:val="CommentText"/>
    <w:rsid w:val="0007005E"/>
  </w:style>
  <w:style w:type="paragraph" w:styleId="CommentSubject">
    <w:name w:val="annotation subject"/>
    <w:basedOn w:val="CommentText"/>
    <w:next w:val="CommentText"/>
    <w:link w:val="CommentSubjectChar"/>
    <w:rsid w:val="0007005E"/>
    <w:rPr>
      <w:b/>
      <w:bCs/>
    </w:rPr>
  </w:style>
  <w:style w:type="character" w:customStyle="1" w:styleId="CommentSubjectChar">
    <w:name w:val="Comment Subject Char"/>
    <w:basedOn w:val="CommentTextChar"/>
    <w:link w:val="CommentSubject"/>
    <w:rsid w:val="0007005E"/>
    <w:rPr>
      <w:b/>
      <w:bCs/>
    </w:rPr>
  </w:style>
  <w:style w:type="paragraph" w:styleId="BalloonText">
    <w:name w:val="Balloon Text"/>
    <w:basedOn w:val="Normal"/>
    <w:link w:val="BalloonTextChar"/>
    <w:rsid w:val="0007005E"/>
    <w:rPr>
      <w:rFonts w:ascii="Segoe UI" w:hAnsi="Segoe UI" w:cs="Segoe UI"/>
      <w:sz w:val="18"/>
      <w:szCs w:val="18"/>
    </w:rPr>
  </w:style>
  <w:style w:type="character" w:customStyle="1" w:styleId="BalloonTextChar">
    <w:name w:val="Balloon Text Char"/>
    <w:basedOn w:val="DefaultParagraphFont"/>
    <w:link w:val="BalloonText"/>
    <w:rsid w:val="0007005E"/>
    <w:rPr>
      <w:rFonts w:ascii="Segoe UI" w:hAnsi="Segoe UI" w:cs="Segoe UI"/>
      <w:sz w:val="18"/>
      <w:szCs w:val="18"/>
    </w:rPr>
  </w:style>
  <w:style w:type="character" w:styleId="UnresolvedMention">
    <w:name w:val="Unresolved Mention"/>
    <w:basedOn w:val="DefaultParagraphFont"/>
    <w:uiPriority w:val="99"/>
    <w:semiHidden/>
    <w:unhideWhenUsed/>
    <w:rsid w:val="00E9508E"/>
    <w:rPr>
      <w:color w:val="605E5C"/>
      <w:shd w:val="clear" w:color="auto" w:fill="E1DFDD"/>
    </w:rPr>
  </w:style>
  <w:style w:type="paragraph" w:styleId="Revision">
    <w:name w:val="Revision"/>
    <w:hidden/>
    <w:uiPriority w:val="99"/>
    <w:semiHidden/>
    <w:rsid w:val="0003154E"/>
    <w:rPr>
      <w:sz w:val="24"/>
      <w:szCs w:val="24"/>
    </w:rPr>
  </w:style>
  <w:style w:type="paragraph" w:customStyle="1" w:styleId="pf0">
    <w:name w:val="pf0"/>
    <w:basedOn w:val="Normal"/>
    <w:rsid w:val="000B162A"/>
    <w:pPr>
      <w:spacing w:before="100" w:beforeAutospacing="1" w:after="100" w:afterAutospacing="1"/>
    </w:pPr>
  </w:style>
  <w:style w:type="character" w:customStyle="1" w:styleId="cf01">
    <w:name w:val="cf01"/>
    <w:basedOn w:val="DefaultParagraphFont"/>
    <w:rsid w:val="000B16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85730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11980-4469-4F12-8254-4E828940D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2024-08-22T07:36:00Z</dcterms:created>
  <dcterms:modified xsi:type="dcterms:W3CDTF">2024-08-22T07:37:00Z</dcterms:modified>
</cp:coreProperties>
</file>